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CellSpacing w:w="60" w:type="dxa"/>
        <w:tblInd w:w="130" w:type="dxa"/>
        <w:tblBorders>
          <w:top w:val="nil"/>
          <w:left w:val="nil"/>
          <w:bottom w:val="nil"/>
          <w:right w:val="nil"/>
          <w:insideH w:val="nil"/>
          <w:insideV w:val="nil"/>
        </w:tblBorders>
        <w:shd w:val="clear" w:color="auto" w:fill="E7F0F9"/>
        <w:tblCellMar>
          <w:left w:w="10" w:type="dxa"/>
          <w:right w:w="10" w:type="dxa"/>
        </w:tblCellMar>
        <w:tblLook w:val="04A0" w:firstRow="1" w:lastRow="0" w:firstColumn="1" w:lastColumn="0" w:noHBand="0" w:noVBand="1"/>
      </w:tblPr>
      <w:tblGrid>
        <w:gridCol w:w="2254"/>
        <w:gridCol w:w="6746"/>
      </w:tblGrid>
      <w:tr w:rsidR="003329F2" w14:paraId="1BE68078" w14:textId="77777777">
        <w:tblPrEx>
          <w:tblCellMar>
            <w:top w:w="0" w:type="dxa"/>
            <w:bottom w:w="0" w:type="dxa"/>
          </w:tblCellMar>
        </w:tblPrEx>
        <w:trPr>
          <w:tblCellSpacing w:w="60" w:type="dxa"/>
        </w:trPr>
        <w:tc>
          <w:tcPr>
            <w:tcW w:w="1200" w:type="pct"/>
            <w:shd w:val="clear" w:color="auto" w:fill="E7F0F9"/>
          </w:tcPr>
          <w:p w14:paraId="0AC33B8E" w14:textId="77777777" w:rsidR="003329F2" w:rsidRDefault="00000000">
            <w:pPr>
              <w:spacing w:after="0" w:line="240" w:lineRule="auto"/>
            </w:pPr>
            <w:r>
              <w:rPr>
                <w:b/>
              </w:rPr>
              <w:t>RKP broj</w:t>
            </w:r>
          </w:p>
        </w:tc>
        <w:tc>
          <w:tcPr>
            <w:tcW w:w="0" w:type="auto"/>
            <w:shd w:val="clear" w:color="auto" w:fill="E7F0F9"/>
          </w:tcPr>
          <w:p w14:paraId="7ED06603" w14:textId="77777777" w:rsidR="003329F2" w:rsidRDefault="00000000">
            <w:pPr>
              <w:spacing w:after="0" w:line="240" w:lineRule="auto"/>
            </w:pPr>
            <w:r>
              <w:t>47965</w:t>
            </w:r>
          </w:p>
        </w:tc>
      </w:tr>
      <w:tr w:rsidR="003329F2" w14:paraId="6739E7FB" w14:textId="77777777">
        <w:tblPrEx>
          <w:tblCellMar>
            <w:top w:w="0" w:type="dxa"/>
            <w:bottom w:w="0" w:type="dxa"/>
          </w:tblCellMar>
        </w:tblPrEx>
        <w:trPr>
          <w:tblCellSpacing w:w="60" w:type="dxa"/>
        </w:trPr>
        <w:tc>
          <w:tcPr>
            <w:tcW w:w="1200" w:type="pct"/>
            <w:shd w:val="clear" w:color="auto" w:fill="E7F0F9"/>
          </w:tcPr>
          <w:p w14:paraId="74DB4D56" w14:textId="77777777" w:rsidR="003329F2" w:rsidRDefault="00000000">
            <w:pPr>
              <w:spacing w:after="0" w:line="240" w:lineRule="auto"/>
            </w:pPr>
            <w:r>
              <w:rPr>
                <w:b/>
              </w:rPr>
              <w:t>Naziv obveznika</w:t>
            </w:r>
          </w:p>
        </w:tc>
        <w:tc>
          <w:tcPr>
            <w:tcW w:w="0" w:type="auto"/>
            <w:shd w:val="clear" w:color="auto" w:fill="E7F0F9"/>
          </w:tcPr>
          <w:p w14:paraId="1C32E2F7" w14:textId="77777777" w:rsidR="003329F2" w:rsidRDefault="00000000">
            <w:pPr>
              <w:spacing w:after="0" w:line="240" w:lineRule="auto"/>
            </w:pPr>
            <w:r>
              <w:t>DOM ZA  ODRASLE OSOBE PETRINJA</w:t>
            </w:r>
          </w:p>
        </w:tc>
      </w:tr>
      <w:tr w:rsidR="003329F2" w14:paraId="5B0DF746" w14:textId="77777777">
        <w:tblPrEx>
          <w:tblCellMar>
            <w:top w:w="0" w:type="dxa"/>
            <w:bottom w:w="0" w:type="dxa"/>
          </w:tblCellMar>
        </w:tblPrEx>
        <w:trPr>
          <w:tblCellSpacing w:w="60" w:type="dxa"/>
        </w:trPr>
        <w:tc>
          <w:tcPr>
            <w:tcW w:w="1200" w:type="pct"/>
            <w:shd w:val="clear" w:color="auto" w:fill="E7F0F9"/>
          </w:tcPr>
          <w:p w14:paraId="3385889D" w14:textId="77777777" w:rsidR="003329F2" w:rsidRDefault="00000000">
            <w:pPr>
              <w:spacing w:after="0" w:line="240" w:lineRule="auto"/>
            </w:pPr>
            <w:r>
              <w:rPr>
                <w:b/>
              </w:rPr>
              <w:t>Razina</w:t>
            </w:r>
          </w:p>
        </w:tc>
        <w:tc>
          <w:tcPr>
            <w:tcW w:w="0" w:type="auto"/>
            <w:shd w:val="clear" w:color="auto" w:fill="E7F0F9"/>
          </w:tcPr>
          <w:p w14:paraId="24D6AF40" w14:textId="77777777" w:rsidR="003329F2" w:rsidRDefault="00000000">
            <w:pPr>
              <w:spacing w:after="0" w:line="240" w:lineRule="auto"/>
            </w:pPr>
            <w:r>
              <w:t>21</w:t>
            </w:r>
          </w:p>
        </w:tc>
      </w:tr>
    </w:tbl>
    <w:p w14:paraId="41D42E24" w14:textId="77777777" w:rsidR="003329F2" w:rsidRDefault="00000000">
      <w:r>
        <w:br/>
      </w:r>
    </w:p>
    <w:p w14:paraId="03FB02A2" w14:textId="77777777" w:rsidR="003329F2" w:rsidRDefault="00000000">
      <w:pPr>
        <w:spacing w:line="240" w:lineRule="auto"/>
        <w:jc w:val="center"/>
      </w:pPr>
      <w:r>
        <w:rPr>
          <w:b/>
          <w:sz w:val="28"/>
        </w:rPr>
        <w:t>BILJEŠKE UZ FINANCIJSKE IZVJEŠTAJE</w:t>
      </w:r>
    </w:p>
    <w:p w14:paraId="4FA0B560" w14:textId="77777777" w:rsidR="003329F2" w:rsidRDefault="00000000">
      <w:pPr>
        <w:spacing w:line="240" w:lineRule="auto"/>
        <w:jc w:val="center"/>
      </w:pPr>
      <w:r>
        <w:rPr>
          <w:b/>
          <w:sz w:val="28"/>
        </w:rPr>
        <w:t>ZA RAZDOBLJE</w:t>
      </w:r>
    </w:p>
    <w:p w14:paraId="635B0A60" w14:textId="77777777" w:rsidR="003329F2" w:rsidRDefault="00000000">
      <w:pPr>
        <w:spacing w:line="240" w:lineRule="auto"/>
        <w:jc w:val="center"/>
      </w:pPr>
      <w:r>
        <w:rPr>
          <w:b/>
          <w:sz w:val="28"/>
        </w:rPr>
        <w:t>I - XII 2025.</w:t>
      </w:r>
    </w:p>
    <w:p w14:paraId="36A9F14C" w14:textId="77777777" w:rsidR="003329F2" w:rsidRDefault="003329F2"/>
    <w:p w14:paraId="309AC415" w14:textId="77777777" w:rsidR="003329F2" w:rsidRDefault="00000000">
      <w:pPr>
        <w:keepNext/>
        <w:spacing w:line="240" w:lineRule="auto"/>
        <w:jc w:val="center"/>
      </w:pPr>
      <w:r>
        <w:rPr>
          <w:b/>
          <w:sz w:val="28"/>
        </w:rPr>
        <w:t>Izvještaj o prihodima i rashodima, primicima i izdacima</w:t>
      </w:r>
    </w:p>
    <w:p w14:paraId="3C611A71" w14:textId="77777777" w:rsidR="003329F2" w:rsidRDefault="00000000">
      <w:pPr>
        <w:keepNext/>
        <w:spacing w:line="240" w:lineRule="auto"/>
        <w:jc w:val="center"/>
      </w:pPr>
      <w:r>
        <w:rPr>
          <w:sz w:val="28"/>
        </w:rPr>
        <w:t>Bilješka 1.</w:t>
      </w:r>
    </w:p>
    <w:tbl>
      <w:tblPr>
        <w:tblW w:w="0" w:type="auto"/>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58F8A94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4403F75"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FCF669C"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2A0594C"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C8E7E4B" w14:textId="77777777" w:rsidR="003329F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18FDA3E" w14:textId="77777777" w:rsidR="003329F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6B42B94" w14:textId="77777777" w:rsidR="003329F2" w:rsidRDefault="00000000">
            <w:pPr>
              <w:keepNext/>
              <w:keepLines/>
              <w:spacing w:after="0" w:line="240" w:lineRule="auto"/>
              <w:jc w:val="center"/>
            </w:pPr>
            <w:r>
              <w:rPr>
                <w:b/>
                <w:sz w:val="18"/>
              </w:rPr>
              <w:t>Indeks (%)</w:t>
            </w:r>
          </w:p>
        </w:tc>
      </w:tr>
      <w:tr w:rsidR="003329F2" w14:paraId="1073FE5B" w14:textId="77777777">
        <w:tblPrEx>
          <w:tblCellMar>
            <w:top w:w="0" w:type="dxa"/>
            <w:bottom w:w="0" w:type="dxa"/>
          </w:tblCellMar>
        </w:tblPrEx>
        <w:trPr>
          <w:cantSplit/>
          <w:trHeight w:val="560"/>
        </w:trPr>
        <w:tc>
          <w:tcPr>
            <w:tcW w:w="700" w:type="dxa"/>
            <w:tcMar>
              <w:top w:w="0" w:type="dxa"/>
              <w:bottom w:w="0" w:type="dxa"/>
            </w:tcMar>
            <w:vAlign w:val="center"/>
          </w:tcPr>
          <w:p w14:paraId="5683D553" w14:textId="77777777" w:rsidR="003329F2" w:rsidRDefault="00000000">
            <w:pPr>
              <w:keepNext/>
              <w:keepLines/>
              <w:spacing w:after="0" w:line="240" w:lineRule="auto"/>
            </w:pPr>
            <w:r>
              <w:rPr>
                <w:sz w:val="18"/>
              </w:rPr>
              <w:t>6</w:t>
            </w:r>
          </w:p>
        </w:tc>
        <w:tc>
          <w:tcPr>
            <w:tcW w:w="3180" w:type="dxa"/>
            <w:tcMar>
              <w:top w:w="0" w:type="dxa"/>
              <w:bottom w:w="0" w:type="dxa"/>
            </w:tcMar>
            <w:vAlign w:val="center"/>
          </w:tcPr>
          <w:p w14:paraId="1A9BAFA4" w14:textId="77777777" w:rsidR="003329F2" w:rsidRDefault="00000000">
            <w:pPr>
              <w:keepNext/>
              <w:keepLines/>
              <w:spacing w:after="0" w:line="240" w:lineRule="auto"/>
            </w:pPr>
            <w:r>
              <w:rPr>
                <w:sz w:val="18"/>
              </w:rPr>
              <w:t>PRIHODI POSLOVANJA (šifre 61+62+63+64+65+66+67+68)</w:t>
            </w:r>
          </w:p>
        </w:tc>
        <w:tc>
          <w:tcPr>
            <w:tcW w:w="700" w:type="dxa"/>
            <w:tcMar>
              <w:top w:w="0" w:type="dxa"/>
              <w:bottom w:w="0" w:type="dxa"/>
            </w:tcMar>
            <w:vAlign w:val="center"/>
          </w:tcPr>
          <w:p w14:paraId="61ADDBED" w14:textId="77777777" w:rsidR="003329F2" w:rsidRDefault="00000000">
            <w:pPr>
              <w:keepNext/>
              <w:keepLines/>
              <w:spacing w:after="0" w:line="240" w:lineRule="auto"/>
            </w:pPr>
            <w:r>
              <w:rPr>
                <w:sz w:val="18"/>
              </w:rPr>
              <w:t>6</w:t>
            </w:r>
          </w:p>
        </w:tc>
        <w:tc>
          <w:tcPr>
            <w:tcW w:w="1860" w:type="dxa"/>
            <w:tcMar>
              <w:top w:w="0" w:type="dxa"/>
              <w:bottom w:w="0" w:type="dxa"/>
            </w:tcMar>
            <w:vAlign w:val="center"/>
          </w:tcPr>
          <w:p w14:paraId="65DAF986" w14:textId="77777777" w:rsidR="003329F2" w:rsidRDefault="00000000">
            <w:pPr>
              <w:keepNext/>
              <w:keepLines/>
              <w:spacing w:after="0" w:line="240" w:lineRule="auto"/>
              <w:jc w:val="right"/>
            </w:pPr>
            <w:r>
              <w:rPr>
                <w:sz w:val="18"/>
              </w:rPr>
              <w:t>1.211.022,84</w:t>
            </w:r>
          </w:p>
        </w:tc>
        <w:tc>
          <w:tcPr>
            <w:tcW w:w="1860" w:type="dxa"/>
            <w:tcMar>
              <w:top w:w="0" w:type="dxa"/>
              <w:bottom w:w="0" w:type="dxa"/>
            </w:tcMar>
            <w:vAlign w:val="center"/>
          </w:tcPr>
          <w:p w14:paraId="1CA36F23" w14:textId="77777777" w:rsidR="003329F2" w:rsidRDefault="00000000">
            <w:pPr>
              <w:keepNext/>
              <w:keepLines/>
              <w:spacing w:after="0" w:line="240" w:lineRule="auto"/>
              <w:jc w:val="right"/>
            </w:pPr>
            <w:r>
              <w:rPr>
                <w:sz w:val="18"/>
              </w:rPr>
              <w:t>1.495.659,84</w:t>
            </w:r>
          </w:p>
        </w:tc>
        <w:tc>
          <w:tcPr>
            <w:tcW w:w="700" w:type="dxa"/>
            <w:tcMar>
              <w:top w:w="0" w:type="dxa"/>
              <w:bottom w:w="0" w:type="dxa"/>
            </w:tcMar>
            <w:vAlign w:val="center"/>
          </w:tcPr>
          <w:p w14:paraId="44EB42F1" w14:textId="77777777" w:rsidR="003329F2" w:rsidRDefault="00000000">
            <w:pPr>
              <w:keepNext/>
              <w:keepLines/>
              <w:spacing w:after="0" w:line="240" w:lineRule="auto"/>
              <w:jc w:val="right"/>
            </w:pPr>
            <w:r>
              <w:rPr>
                <w:sz w:val="18"/>
              </w:rPr>
              <w:t>123,5</w:t>
            </w:r>
          </w:p>
        </w:tc>
      </w:tr>
      <w:tr w:rsidR="003329F2" w14:paraId="6DD50282" w14:textId="77777777">
        <w:tblPrEx>
          <w:tblCellMar>
            <w:top w:w="0" w:type="dxa"/>
            <w:bottom w:w="0" w:type="dxa"/>
          </w:tblCellMar>
        </w:tblPrEx>
        <w:trPr>
          <w:cantSplit/>
          <w:trHeight w:val="560"/>
        </w:trPr>
        <w:tc>
          <w:tcPr>
            <w:tcW w:w="700" w:type="dxa"/>
            <w:tcMar>
              <w:top w:w="0" w:type="dxa"/>
              <w:bottom w:w="0" w:type="dxa"/>
            </w:tcMar>
            <w:vAlign w:val="center"/>
          </w:tcPr>
          <w:p w14:paraId="4CF1A4A0" w14:textId="77777777" w:rsidR="003329F2" w:rsidRDefault="00000000">
            <w:pPr>
              <w:keepNext/>
              <w:keepLines/>
              <w:spacing w:after="0" w:line="240" w:lineRule="auto"/>
            </w:pPr>
            <w:r>
              <w:rPr>
                <w:sz w:val="18"/>
              </w:rPr>
              <w:t>3</w:t>
            </w:r>
          </w:p>
        </w:tc>
        <w:tc>
          <w:tcPr>
            <w:tcW w:w="3180" w:type="dxa"/>
            <w:tcMar>
              <w:top w:w="0" w:type="dxa"/>
              <w:bottom w:w="0" w:type="dxa"/>
            </w:tcMar>
            <w:vAlign w:val="center"/>
          </w:tcPr>
          <w:p w14:paraId="6D457779" w14:textId="77777777" w:rsidR="003329F2" w:rsidRDefault="00000000">
            <w:pPr>
              <w:keepNext/>
              <w:keepLines/>
              <w:spacing w:after="0" w:line="240" w:lineRule="auto"/>
            </w:pPr>
            <w:r>
              <w:rPr>
                <w:sz w:val="18"/>
              </w:rPr>
              <w:t>RASHODI POSLOVANJA (šifre 31+32+34+35+36+37+38)</w:t>
            </w:r>
          </w:p>
        </w:tc>
        <w:tc>
          <w:tcPr>
            <w:tcW w:w="700" w:type="dxa"/>
            <w:tcMar>
              <w:top w:w="0" w:type="dxa"/>
              <w:bottom w:w="0" w:type="dxa"/>
            </w:tcMar>
            <w:vAlign w:val="center"/>
          </w:tcPr>
          <w:p w14:paraId="1D0545A2" w14:textId="77777777" w:rsidR="003329F2" w:rsidRDefault="00000000">
            <w:pPr>
              <w:keepNext/>
              <w:keepLines/>
              <w:spacing w:after="0" w:line="240" w:lineRule="auto"/>
            </w:pPr>
            <w:r>
              <w:rPr>
                <w:sz w:val="18"/>
              </w:rPr>
              <w:t>3</w:t>
            </w:r>
          </w:p>
        </w:tc>
        <w:tc>
          <w:tcPr>
            <w:tcW w:w="1860" w:type="dxa"/>
            <w:tcMar>
              <w:top w:w="0" w:type="dxa"/>
              <w:bottom w:w="0" w:type="dxa"/>
            </w:tcMar>
            <w:vAlign w:val="center"/>
          </w:tcPr>
          <w:p w14:paraId="6E4D283F" w14:textId="77777777" w:rsidR="003329F2" w:rsidRDefault="00000000">
            <w:pPr>
              <w:keepNext/>
              <w:keepLines/>
              <w:spacing w:after="0" w:line="240" w:lineRule="auto"/>
              <w:jc w:val="right"/>
            </w:pPr>
            <w:r>
              <w:rPr>
                <w:sz w:val="18"/>
              </w:rPr>
              <w:t>1.270.831,50</w:t>
            </w:r>
          </w:p>
        </w:tc>
        <w:tc>
          <w:tcPr>
            <w:tcW w:w="1860" w:type="dxa"/>
            <w:tcMar>
              <w:top w:w="0" w:type="dxa"/>
              <w:bottom w:w="0" w:type="dxa"/>
            </w:tcMar>
            <w:vAlign w:val="center"/>
          </w:tcPr>
          <w:p w14:paraId="210DF545" w14:textId="77777777" w:rsidR="003329F2" w:rsidRDefault="00000000">
            <w:pPr>
              <w:keepNext/>
              <w:keepLines/>
              <w:spacing w:after="0" w:line="240" w:lineRule="auto"/>
              <w:jc w:val="right"/>
            </w:pPr>
            <w:r>
              <w:rPr>
                <w:sz w:val="18"/>
              </w:rPr>
              <w:t>1.452.893,18</w:t>
            </w:r>
          </w:p>
        </w:tc>
        <w:tc>
          <w:tcPr>
            <w:tcW w:w="700" w:type="dxa"/>
            <w:tcMar>
              <w:top w:w="0" w:type="dxa"/>
              <w:bottom w:w="0" w:type="dxa"/>
            </w:tcMar>
            <w:vAlign w:val="center"/>
          </w:tcPr>
          <w:p w14:paraId="2F871FA0" w14:textId="77777777" w:rsidR="003329F2" w:rsidRDefault="00000000">
            <w:pPr>
              <w:keepNext/>
              <w:keepLines/>
              <w:spacing w:after="0" w:line="240" w:lineRule="auto"/>
              <w:jc w:val="right"/>
            </w:pPr>
            <w:r>
              <w:rPr>
                <w:sz w:val="18"/>
              </w:rPr>
              <w:t>114,3</w:t>
            </w:r>
          </w:p>
        </w:tc>
      </w:tr>
      <w:tr w:rsidR="003329F2" w14:paraId="53F68D75" w14:textId="77777777">
        <w:tblPrEx>
          <w:tblCellMar>
            <w:top w:w="0" w:type="dxa"/>
            <w:bottom w:w="0" w:type="dxa"/>
          </w:tblCellMar>
        </w:tblPrEx>
        <w:trPr>
          <w:cantSplit/>
          <w:trHeight w:val="560"/>
        </w:trPr>
        <w:tc>
          <w:tcPr>
            <w:tcW w:w="700" w:type="dxa"/>
            <w:tcMar>
              <w:top w:w="0" w:type="dxa"/>
              <w:bottom w:w="0" w:type="dxa"/>
            </w:tcMar>
            <w:vAlign w:val="center"/>
          </w:tcPr>
          <w:p w14:paraId="1FCE16B6" w14:textId="77777777" w:rsidR="003329F2" w:rsidRDefault="003329F2">
            <w:pPr>
              <w:keepNext/>
              <w:keepLines/>
              <w:spacing w:after="0" w:line="240" w:lineRule="auto"/>
            </w:pPr>
          </w:p>
        </w:tc>
        <w:tc>
          <w:tcPr>
            <w:tcW w:w="3180" w:type="dxa"/>
            <w:tcMar>
              <w:top w:w="0" w:type="dxa"/>
              <w:bottom w:w="0" w:type="dxa"/>
            </w:tcMar>
            <w:vAlign w:val="center"/>
          </w:tcPr>
          <w:p w14:paraId="404A03BB" w14:textId="77777777" w:rsidR="003329F2" w:rsidRDefault="00000000">
            <w:pPr>
              <w:keepNext/>
              <w:keepLines/>
              <w:spacing w:after="0" w:line="240" w:lineRule="auto"/>
            </w:pPr>
            <w:r>
              <w:rPr>
                <w:b/>
                <w:sz w:val="18"/>
              </w:rPr>
              <w:t>VIŠAK PRIHODA POSLOVANJA (šifre 6-Z005)</w:t>
            </w:r>
          </w:p>
        </w:tc>
        <w:tc>
          <w:tcPr>
            <w:tcW w:w="700" w:type="dxa"/>
            <w:tcMar>
              <w:top w:w="0" w:type="dxa"/>
              <w:bottom w:w="0" w:type="dxa"/>
            </w:tcMar>
            <w:vAlign w:val="center"/>
          </w:tcPr>
          <w:p w14:paraId="727DFEF0" w14:textId="77777777" w:rsidR="003329F2" w:rsidRDefault="00000000">
            <w:pPr>
              <w:keepNext/>
              <w:keepLines/>
              <w:spacing w:after="0" w:line="240" w:lineRule="auto"/>
            </w:pPr>
            <w:r>
              <w:rPr>
                <w:b/>
                <w:sz w:val="18"/>
              </w:rPr>
              <w:t>X001</w:t>
            </w:r>
          </w:p>
        </w:tc>
        <w:tc>
          <w:tcPr>
            <w:tcW w:w="1860" w:type="dxa"/>
            <w:tcMar>
              <w:top w:w="0" w:type="dxa"/>
              <w:bottom w:w="0" w:type="dxa"/>
            </w:tcMar>
            <w:vAlign w:val="center"/>
          </w:tcPr>
          <w:p w14:paraId="66AA2D81" w14:textId="77777777" w:rsidR="003329F2" w:rsidRDefault="00000000">
            <w:pPr>
              <w:keepNext/>
              <w:keepLines/>
              <w:spacing w:after="0" w:line="240" w:lineRule="auto"/>
              <w:jc w:val="right"/>
            </w:pPr>
            <w:r>
              <w:rPr>
                <w:b/>
                <w:sz w:val="18"/>
              </w:rPr>
              <w:t>0,00</w:t>
            </w:r>
          </w:p>
        </w:tc>
        <w:tc>
          <w:tcPr>
            <w:tcW w:w="1860" w:type="dxa"/>
            <w:tcMar>
              <w:top w:w="0" w:type="dxa"/>
              <w:bottom w:w="0" w:type="dxa"/>
            </w:tcMar>
            <w:vAlign w:val="center"/>
          </w:tcPr>
          <w:p w14:paraId="29A0927E" w14:textId="77777777" w:rsidR="003329F2" w:rsidRDefault="00000000">
            <w:pPr>
              <w:keepNext/>
              <w:keepLines/>
              <w:spacing w:after="0" w:line="240" w:lineRule="auto"/>
              <w:jc w:val="right"/>
            </w:pPr>
            <w:r>
              <w:rPr>
                <w:b/>
                <w:sz w:val="18"/>
              </w:rPr>
              <w:t>42.766,66</w:t>
            </w:r>
          </w:p>
        </w:tc>
        <w:tc>
          <w:tcPr>
            <w:tcW w:w="700" w:type="dxa"/>
            <w:tcMar>
              <w:top w:w="0" w:type="dxa"/>
              <w:bottom w:w="0" w:type="dxa"/>
            </w:tcMar>
            <w:vAlign w:val="center"/>
          </w:tcPr>
          <w:p w14:paraId="1020C371" w14:textId="77777777" w:rsidR="003329F2" w:rsidRDefault="00000000">
            <w:pPr>
              <w:keepNext/>
              <w:keepLines/>
              <w:spacing w:after="0" w:line="240" w:lineRule="auto"/>
              <w:jc w:val="right"/>
            </w:pPr>
            <w:r>
              <w:rPr>
                <w:b/>
                <w:sz w:val="18"/>
              </w:rPr>
              <w:t>-</w:t>
            </w:r>
          </w:p>
        </w:tc>
      </w:tr>
      <w:tr w:rsidR="003329F2" w14:paraId="1BB8E5EB" w14:textId="77777777">
        <w:tblPrEx>
          <w:tblCellMar>
            <w:top w:w="0" w:type="dxa"/>
            <w:bottom w:w="0" w:type="dxa"/>
          </w:tblCellMar>
        </w:tblPrEx>
        <w:trPr>
          <w:cantSplit/>
          <w:trHeight w:val="560"/>
        </w:trPr>
        <w:tc>
          <w:tcPr>
            <w:tcW w:w="700" w:type="dxa"/>
            <w:tcMar>
              <w:top w:w="0" w:type="dxa"/>
              <w:bottom w:w="0" w:type="dxa"/>
            </w:tcMar>
            <w:vAlign w:val="center"/>
          </w:tcPr>
          <w:p w14:paraId="349D9F51" w14:textId="77777777" w:rsidR="003329F2" w:rsidRDefault="00000000">
            <w:pPr>
              <w:keepNext/>
              <w:keepLines/>
              <w:spacing w:after="0" w:line="240" w:lineRule="auto"/>
            </w:pPr>
            <w:r>
              <w:rPr>
                <w:sz w:val="18"/>
              </w:rPr>
              <w:t>7</w:t>
            </w:r>
          </w:p>
        </w:tc>
        <w:tc>
          <w:tcPr>
            <w:tcW w:w="3180" w:type="dxa"/>
            <w:tcMar>
              <w:top w:w="0" w:type="dxa"/>
              <w:bottom w:w="0" w:type="dxa"/>
            </w:tcMar>
            <w:vAlign w:val="center"/>
          </w:tcPr>
          <w:p w14:paraId="1DF5A9CA" w14:textId="77777777" w:rsidR="003329F2" w:rsidRDefault="00000000">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747F692B" w14:textId="77777777" w:rsidR="003329F2" w:rsidRDefault="00000000">
            <w:pPr>
              <w:keepNext/>
              <w:keepLines/>
              <w:spacing w:after="0" w:line="240" w:lineRule="auto"/>
            </w:pPr>
            <w:r>
              <w:rPr>
                <w:sz w:val="18"/>
              </w:rPr>
              <w:t>7</w:t>
            </w:r>
          </w:p>
        </w:tc>
        <w:tc>
          <w:tcPr>
            <w:tcW w:w="1860" w:type="dxa"/>
            <w:tcMar>
              <w:top w:w="0" w:type="dxa"/>
              <w:bottom w:w="0" w:type="dxa"/>
            </w:tcMar>
            <w:vAlign w:val="center"/>
          </w:tcPr>
          <w:p w14:paraId="56F29F10" w14:textId="77777777" w:rsidR="003329F2" w:rsidRDefault="00000000">
            <w:pPr>
              <w:keepNext/>
              <w:keepLines/>
              <w:spacing w:after="0" w:line="240" w:lineRule="auto"/>
              <w:jc w:val="right"/>
            </w:pPr>
            <w:r>
              <w:rPr>
                <w:sz w:val="18"/>
              </w:rPr>
              <w:t>650,40</w:t>
            </w:r>
          </w:p>
        </w:tc>
        <w:tc>
          <w:tcPr>
            <w:tcW w:w="1860" w:type="dxa"/>
            <w:tcMar>
              <w:top w:w="0" w:type="dxa"/>
              <w:bottom w:w="0" w:type="dxa"/>
            </w:tcMar>
            <w:vAlign w:val="center"/>
          </w:tcPr>
          <w:p w14:paraId="34CD202D" w14:textId="77777777" w:rsidR="003329F2" w:rsidRDefault="00000000">
            <w:pPr>
              <w:keepNext/>
              <w:keepLines/>
              <w:spacing w:after="0" w:line="240" w:lineRule="auto"/>
              <w:jc w:val="right"/>
            </w:pPr>
            <w:r>
              <w:rPr>
                <w:sz w:val="18"/>
              </w:rPr>
              <w:t>0,00</w:t>
            </w:r>
          </w:p>
        </w:tc>
        <w:tc>
          <w:tcPr>
            <w:tcW w:w="700" w:type="dxa"/>
            <w:tcMar>
              <w:top w:w="0" w:type="dxa"/>
              <w:bottom w:w="0" w:type="dxa"/>
            </w:tcMar>
            <w:vAlign w:val="center"/>
          </w:tcPr>
          <w:p w14:paraId="3C581F63" w14:textId="77777777" w:rsidR="003329F2" w:rsidRDefault="00000000">
            <w:pPr>
              <w:keepNext/>
              <w:keepLines/>
              <w:spacing w:after="0" w:line="240" w:lineRule="auto"/>
              <w:jc w:val="right"/>
            </w:pPr>
            <w:r>
              <w:rPr>
                <w:sz w:val="18"/>
              </w:rPr>
              <w:t>0</w:t>
            </w:r>
          </w:p>
        </w:tc>
      </w:tr>
      <w:tr w:rsidR="003329F2" w14:paraId="17C7E56D" w14:textId="77777777">
        <w:tblPrEx>
          <w:tblCellMar>
            <w:top w:w="0" w:type="dxa"/>
            <w:bottom w:w="0" w:type="dxa"/>
          </w:tblCellMar>
        </w:tblPrEx>
        <w:trPr>
          <w:cantSplit/>
          <w:trHeight w:val="560"/>
        </w:trPr>
        <w:tc>
          <w:tcPr>
            <w:tcW w:w="700" w:type="dxa"/>
            <w:tcMar>
              <w:top w:w="0" w:type="dxa"/>
              <w:bottom w:w="0" w:type="dxa"/>
            </w:tcMar>
            <w:vAlign w:val="center"/>
          </w:tcPr>
          <w:p w14:paraId="1F5930C1" w14:textId="77777777" w:rsidR="003329F2" w:rsidRDefault="00000000">
            <w:pPr>
              <w:keepNext/>
              <w:keepLines/>
              <w:spacing w:after="0" w:line="240" w:lineRule="auto"/>
            </w:pPr>
            <w:r>
              <w:rPr>
                <w:sz w:val="18"/>
              </w:rPr>
              <w:t>4</w:t>
            </w:r>
          </w:p>
        </w:tc>
        <w:tc>
          <w:tcPr>
            <w:tcW w:w="3180" w:type="dxa"/>
            <w:tcMar>
              <w:top w:w="0" w:type="dxa"/>
              <w:bottom w:w="0" w:type="dxa"/>
            </w:tcMar>
            <w:vAlign w:val="center"/>
          </w:tcPr>
          <w:p w14:paraId="3BB0216C" w14:textId="77777777" w:rsidR="003329F2" w:rsidRDefault="00000000">
            <w:pPr>
              <w:keepNext/>
              <w:keepLines/>
              <w:spacing w:after="0" w:line="240" w:lineRule="auto"/>
            </w:pPr>
            <w:r>
              <w:rPr>
                <w:sz w:val="18"/>
              </w:rPr>
              <w:t>Rashodi za nabavu nefinancijske imovine (šifre 41+42+43+44+45)</w:t>
            </w:r>
          </w:p>
        </w:tc>
        <w:tc>
          <w:tcPr>
            <w:tcW w:w="700" w:type="dxa"/>
            <w:tcMar>
              <w:top w:w="0" w:type="dxa"/>
              <w:bottom w:w="0" w:type="dxa"/>
            </w:tcMar>
            <w:vAlign w:val="center"/>
          </w:tcPr>
          <w:p w14:paraId="6EFF06BF" w14:textId="77777777" w:rsidR="003329F2" w:rsidRDefault="00000000">
            <w:pPr>
              <w:keepNext/>
              <w:keepLines/>
              <w:spacing w:after="0" w:line="240" w:lineRule="auto"/>
            </w:pPr>
            <w:r>
              <w:rPr>
                <w:sz w:val="18"/>
              </w:rPr>
              <w:t>4</w:t>
            </w:r>
          </w:p>
        </w:tc>
        <w:tc>
          <w:tcPr>
            <w:tcW w:w="1860" w:type="dxa"/>
            <w:tcMar>
              <w:top w:w="0" w:type="dxa"/>
              <w:bottom w:w="0" w:type="dxa"/>
            </w:tcMar>
            <w:vAlign w:val="center"/>
          </w:tcPr>
          <w:p w14:paraId="48B2B769" w14:textId="77777777" w:rsidR="003329F2" w:rsidRDefault="00000000">
            <w:pPr>
              <w:keepNext/>
              <w:keepLines/>
              <w:spacing w:after="0" w:line="240" w:lineRule="auto"/>
              <w:jc w:val="right"/>
            </w:pPr>
            <w:r>
              <w:rPr>
                <w:sz w:val="18"/>
              </w:rPr>
              <w:t>218.540,27</w:t>
            </w:r>
          </w:p>
        </w:tc>
        <w:tc>
          <w:tcPr>
            <w:tcW w:w="1860" w:type="dxa"/>
            <w:tcMar>
              <w:top w:w="0" w:type="dxa"/>
              <w:bottom w:w="0" w:type="dxa"/>
            </w:tcMar>
            <w:vAlign w:val="center"/>
          </w:tcPr>
          <w:p w14:paraId="0B3311E3" w14:textId="77777777" w:rsidR="003329F2" w:rsidRDefault="00000000">
            <w:pPr>
              <w:keepNext/>
              <w:keepLines/>
              <w:spacing w:after="0" w:line="240" w:lineRule="auto"/>
              <w:jc w:val="right"/>
            </w:pPr>
            <w:r>
              <w:rPr>
                <w:sz w:val="18"/>
              </w:rPr>
              <w:t>27.128,31</w:t>
            </w:r>
          </w:p>
        </w:tc>
        <w:tc>
          <w:tcPr>
            <w:tcW w:w="700" w:type="dxa"/>
            <w:tcMar>
              <w:top w:w="0" w:type="dxa"/>
              <w:bottom w:w="0" w:type="dxa"/>
            </w:tcMar>
            <w:vAlign w:val="center"/>
          </w:tcPr>
          <w:p w14:paraId="4141E3AB" w14:textId="77777777" w:rsidR="003329F2" w:rsidRDefault="00000000">
            <w:pPr>
              <w:keepNext/>
              <w:keepLines/>
              <w:spacing w:after="0" w:line="240" w:lineRule="auto"/>
              <w:jc w:val="right"/>
            </w:pPr>
            <w:r>
              <w:rPr>
                <w:sz w:val="18"/>
              </w:rPr>
              <w:t>12,4</w:t>
            </w:r>
          </w:p>
        </w:tc>
      </w:tr>
      <w:tr w:rsidR="003329F2" w14:paraId="3A44D56E" w14:textId="77777777">
        <w:tblPrEx>
          <w:tblCellMar>
            <w:top w:w="0" w:type="dxa"/>
            <w:bottom w:w="0" w:type="dxa"/>
          </w:tblCellMar>
        </w:tblPrEx>
        <w:trPr>
          <w:cantSplit/>
          <w:trHeight w:val="560"/>
        </w:trPr>
        <w:tc>
          <w:tcPr>
            <w:tcW w:w="700" w:type="dxa"/>
            <w:tcMar>
              <w:top w:w="0" w:type="dxa"/>
              <w:bottom w:w="0" w:type="dxa"/>
            </w:tcMar>
            <w:vAlign w:val="center"/>
          </w:tcPr>
          <w:p w14:paraId="6AB932F4" w14:textId="77777777" w:rsidR="003329F2" w:rsidRDefault="003329F2">
            <w:pPr>
              <w:keepNext/>
              <w:keepLines/>
              <w:spacing w:after="0" w:line="240" w:lineRule="auto"/>
            </w:pPr>
          </w:p>
        </w:tc>
        <w:tc>
          <w:tcPr>
            <w:tcW w:w="3180" w:type="dxa"/>
            <w:tcMar>
              <w:top w:w="0" w:type="dxa"/>
              <w:bottom w:w="0" w:type="dxa"/>
            </w:tcMar>
            <w:vAlign w:val="center"/>
          </w:tcPr>
          <w:p w14:paraId="5DE4A8DC" w14:textId="77777777" w:rsidR="003329F2" w:rsidRDefault="00000000">
            <w:pPr>
              <w:keepNext/>
              <w:keepLines/>
              <w:spacing w:after="0" w:line="240" w:lineRule="auto"/>
            </w:pPr>
            <w:r>
              <w:rPr>
                <w:b/>
                <w:sz w:val="18"/>
              </w:rPr>
              <w:t>MANJAK PRIHODA OD NEFINANCIJSKE IMOVINE (šifre 4-7)</w:t>
            </w:r>
          </w:p>
        </w:tc>
        <w:tc>
          <w:tcPr>
            <w:tcW w:w="700" w:type="dxa"/>
            <w:tcMar>
              <w:top w:w="0" w:type="dxa"/>
              <w:bottom w:w="0" w:type="dxa"/>
            </w:tcMar>
            <w:vAlign w:val="center"/>
          </w:tcPr>
          <w:p w14:paraId="282EE12E" w14:textId="77777777" w:rsidR="003329F2" w:rsidRDefault="00000000">
            <w:pPr>
              <w:keepNext/>
              <w:keepLines/>
              <w:spacing w:after="0" w:line="240" w:lineRule="auto"/>
            </w:pPr>
            <w:r>
              <w:rPr>
                <w:b/>
                <w:sz w:val="18"/>
              </w:rPr>
              <w:t>Y002</w:t>
            </w:r>
          </w:p>
        </w:tc>
        <w:tc>
          <w:tcPr>
            <w:tcW w:w="1860" w:type="dxa"/>
            <w:tcMar>
              <w:top w:w="0" w:type="dxa"/>
              <w:bottom w:w="0" w:type="dxa"/>
            </w:tcMar>
            <w:vAlign w:val="center"/>
          </w:tcPr>
          <w:p w14:paraId="298172B6" w14:textId="77777777" w:rsidR="003329F2" w:rsidRDefault="00000000">
            <w:pPr>
              <w:keepNext/>
              <w:keepLines/>
              <w:spacing w:after="0" w:line="240" w:lineRule="auto"/>
              <w:jc w:val="right"/>
            </w:pPr>
            <w:r>
              <w:rPr>
                <w:b/>
                <w:sz w:val="18"/>
              </w:rPr>
              <w:t>217.889,87</w:t>
            </w:r>
          </w:p>
        </w:tc>
        <w:tc>
          <w:tcPr>
            <w:tcW w:w="1860" w:type="dxa"/>
            <w:tcMar>
              <w:top w:w="0" w:type="dxa"/>
              <w:bottom w:w="0" w:type="dxa"/>
            </w:tcMar>
            <w:vAlign w:val="center"/>
          </w:tcPr>
          <w:p w14:paraId="661A7127" w14:textId="77777777" w:rsidR="003329F2" w:rsidRDefault="00000000">
            <w:pPr>
              <w:keepNext/>
              <w:keepLines/>
              <w:spacing w:after="0" w:line="240" w:lineRule="auto"/>
              <w:jc w:val="right"/>
            </w:pPr>
            <w:r>
              <w:rPr>
                <w:b/>
                <w:sz w:val="18"/>
              </w:rPr>
              <w:t>27.128,31</w:t>
            </w:r>
          </w:p>
        </w:tc>
        <w:tc>
          <w:tcPr>
            <w:tcW w:w="700" w:type="dxa"/>
            <w:tcMar>
              <w:top w:w="0" w:type="dxa"/>
              <w:bottom w:w="0" w:type="dxa"/>
            </w:tcMar>
            <w:vAlign w:val="center"/>
          </w:tcPr>
          <w:p w14:paraId="1F73D87C" w14:textId="77777777" w:rsidR="003329F2" w:rsidRDefault="00000000">
            <w:pPr>
              <w:keepNext/>
              <w:keepLines/>
              <w:spacing w:after="0" w:line="240" w:lineRule="auto"/>
              <w:jc w:val="right"/>
            </w:pPr>
            <w:r>
              <w:rPr>
                <w:b/>
                <w:sz w:val="18"/>
              </w:rPr>
              <w:t>12,5</w:t>
            </w:r>
          </w:p>
        </w:tc>
      </w:tr>
      <w:tr w:rsidR="003329F2" w14:paraId="6015A7D0" w14:textId="77777777">
        <w:tblPrEx>
          <w:tblCellMar>
            <w:top w:w="0" w:type="dxa"/>
            <w:bottom w:w="0" w:type="dxa"/>
          </w:tblCellMar>
        </w:tblPrEx>
        <w:trPr>
          <w:cantSplit/>
          <w:trHeight w:val="560"/>
        </w:trPr>
        <w:tc>
          <w:tcPr>
            <w:tcW w:w="700" w:type="dxa"/>
            <w:tcMar>
              <w:top w:w="0" w:type="dxa"/>
              <w:bottom w:w="0" w:type="dxa"/>
            </w:tcMar>
            <w:vAlign w:val="center"/>
          </w:tcPr>
          <w:p w14:paraId="7DBCA244" w14:textId="77777777" w:rsidR="003329F2" w:rsidRDefault="00000000">
            <w:pPr>
              <w:keepNext/>
              <w:keepLines/>
              <w:spacing w:after="0" w:line="240" w:lineRule="auto"/>
            </w:pPr>
            <w:r>
              <w:rPr>
                <w:sz w:val="18"/>
              </w:rPr>
              <w:t>8</w:t>
            </w:r>
          </w:p>
        </w:tc>
        <w:tc>
          <w:tcPr>
            <w:tcW w:w="3180" w:type="dxa"/>
            <w:tcMar>
              <w:top w:w="0" w:type="dxa"/>
              <w:bottom w:w="0" w:type="dxa"/>
            </w:tcMar>
            <w:vAlign w:val="center"/>
          </w:tcPr>
          <w:p w14:paraId="48AA0B94" w14:textId="77777777" w:rsidR="003329F2" w:rsidRDefault="00000000">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14:paraId="3E8B16CA" w14:textId="77777777" w:rsidR="003329F2" w:rsidRDefault="00000000">
            <w:pPr>
              <w:keepNext/>
              <w:keepLines/>
              <w:spacing w:after="0" w:line="240" w:lineRule="auto"/>
            </w:pPr>
            <w:r>
              <w:rPr>
                <w:sz w:val="18"/>
              </w:rPr>
              <w:t>8</w:t>
            </w:r>
          </w:p>
        </w:tc>
        <w:tc>
          <w:tcPr>
            <w:tcW w:w="1860" w:type="dxa"/>
            <w:tcMar>
              <w:top w:w="0" w:type="dxa"/>
              <w:bottom w:w="0" w:type="dxa"/>
            </w:tcMar>
            <w:vAlign w:val="center"/>
          </w:tcPr>
          <w:p w14:paraId="78F61E0B" w14:textId="77777777" w:rsidR="003329F2" w:rsidRDefault="00000000">
            <w:pPr>
              <w:keepNext/>
              <w:keepLines/>
              <w:spacing w:after="0" w:line="240" w:lineRule="auto"/>
              <w:jc w:val="right"/>
            </w:pPr>
            <w:r>
              <w:rPr>
                <w:sz w:val="18"/>
              </w:rPr>
              <w:t>0,00</w:t>
            </w:r>
          </w:p>
        </w:tc>
        <w:tc>
          <w:tcPr>
            <w:tcW w:w="1860" w:type="dxa"/>
            <w:tcMar>
              <w:top w:w="0" w:type="dxa"/>
              <w:bottom w:w="0" w:type="dxa"/>
            </w:tcMar>
            <w:vAlign w:val="center"/>
          </w:tcPr>
          <w:p w14:paraId="14EB83F6" w14:textId="77777777" w:rsidR="003329F2" w:rsidRDefault="00000000">
            <w:pPr>
              <w:keepNext/>
              <w:keepLines/>
              <w:spacing w:after="0" w:line="240" w:lineRule="auto"/>
              <w:jc w:val="right"/>
            </w:pPr>
            <w:r>
              <w:rPr>
                <w:sz w:val="18"/>
              </w:rPr>
              <w:t>0,00</w:t>
            </w:r>
          </w:p>
        </w:tc>
        <w:tc>
          <w:tcPr>
            <w:tcW w:w="700" w:type="dxa"/>
            <w:tcMar>
              <w:top w:w="0" w:type="dxa"/>
              <w:bottom w:w="0" w:type="dxa"/>
            </w:tcMar>
            <w:vAlign w:val="center"/>
          </w:tcPr>
          <w:p w14:paraId="2A322080" w14:textId="77777777" w:rsidR="003329F2" w:rsidRDefault="00000000">
            <w:pPr>
              <w:keepNext/>
              <w:keepLines/>
              <w:spacing w:after="0" w:line="240" w:lineRule="auto"/>
              <w:jc w:val="right"/>
            </w:pPr>
            <w:r>
              <w:rPr>
                <w:sz w:val="18"/>
              </w:rPr>
              <w:t>-</w:t>
            </w:r>
          </w:p>
        </w:tc>
      </w:tr>
      <w:tr w:rsidR="003329F2" w14:paraId="77BEFAF3" w14:textId="77777777">
        <w:tblPrEx>
          <w:tblCellMar>
            <w:top w:w="0" w:type="dxa"/>
            <w:bottom w:w="0" w:type="dxa"/>
          </w:tblCellMar>
        </w:tblPrEx>
        <w:trPr>
          <w:cantSplit/>
          <w:trHeight w:val="560"/>
        </w:trPr>
        <w:tc>
          <w:tcPr>
            <w:tcW w:w="700" w:type="dxa"/>
            <w:tcMar>
              <w:top w:w="0" w:type="dxa"/>
              <w:bottom w:w="0" w:type="dxa"/>
            </w:tcMar>
            <w:vAlign w:val="center"/>
          </w:tcPr>
          <w:p w14:paraId="39D3C42F" w14:textId="77777777" w:rsidR="003329F2" w:rsidRDefault="00000000">
            <w:pPr>
              <w:keepNext/>
              <w:keepLines/>
              <w:spacing w:after="0" w:line="240" w:lineRule="auto"/>
            </w:pPr>
            <w:r>
              <w:rPr>
                <w:sz w:val="18"/>
              </w:rPr>
              <w:t>5</w:t>
            </w:r>
          </w:p>
        </w:tc>
        <w:tc>
          <w:tcPr>
            <w:tcW w:w="3180" w:type="dxa"/>
            <w:tcMar>
              <w:top w:w="0" w:type="dxa"/>
              <w:bottom w:w="0" w:type="dxa"/>
            </w:tcMar>
            <w:vAlign w:val="center"/>
          </w:tcPr>
          <w:p w14:paraId="0C1A0EF4" w14:textId="77777777" w:rsidR="003329F2" w:rsidRDefault="00000000">
            <w:pPr>
              <w:keepNext/>
              <w:keepLines/>
              <w:spacing w:after="0" w:line="240" w:lineRule="auto"/>
            </w:pPr>
            <w:r>
              <w:rPr>
                <w:sz w:val="18"/>
              </w:rPr>
              <w:t>Izdaci za financijsku imovinu i otplate zajmova (šifre 51+52+53+54+55)</w:t>
            </w:r>
          </w:p>
        </w:tc>
        <w:tc>
          <w:tcPr>
            <w:tcW w:w="700" w:type="dxa"/>
            <w:tcMar>
              <w:top w:w="0" w:type="dxa"/>
              <w:bottom w:w="0" w:type="dxa"/>
            </w:tcMar>
            <w:vAlign w:val="center"/>
          </w:tcPr>
          <w:p w14:paraId="5EBC4BE1" w14:textId="77777777" w:rsidR="003329F2" w:rsidRDefault="00000000">
            <w:pPr>
              <w:keepNext/>
              <w:keepLines/>
              <w:spacing w:after="0" w:line="240" w:lineRule="auto"/>
            </w:pPr>
            <w:r>
              <w:rPr>
                <w:sz w:val="18"/>
              </w:rPr>
              <w:t>5</w:t>
            </w:r>
          </w:p>
        </w:tc>
        <w:tc>
          <w:tcPr>
            <w:tcW w:w="1860" w:type="dxa"/>
            <w:tcMar>
              <w:top w:w="0" w:type="dxa"/>
              <w:bottom w:w="0" w:type="dxa"/>
            </w:tcMar>
            <w:vAlign w:val="center"/>
          </w:tcPr>
          <w:p w14:paraId="78B7DB24" w14:textId="77777777" w:rsidR="003329F2" w:rsidRDefault="00000000">
            <w:pPr>
              <w:keepNext/>
              <w:keepLines/>
              <w:spacing w:after="0" w:line="240" w:lineRule="auto"/>
              <w:jc w:val="right"/>
            </w:pPr>
            <w:r>
              <w:rPr>
                <w:sz w:val="18"/>
              </w:rPr>
              <w:t>0,00</w:t>
            </w:r>
          </w:p>
        </w:tc>
        <w:tc>
          <w:tcPr>
            <w:tcW w:w="1860" w:type="dxa"/>
            <w:tcMar>
              <w:top w:w="0" w:type="dxa"/>
              <w:bottom w:w="0" w:type="dxa"/>
            </w:tcMar>
            <w:vAlign w:val="center"/>
          </w:tcPr>
          <w:p w14:paraId="405EDD34" w14:textId="77777777" w:rsidR="003329F2" w:rsidRDefault="00000000">
            <w:pPr>
              <w:keepNext/>
              <w:keepLines/>
              <w:spacing w:after="0" w:line="240" w:lineRule="auto"/>
              <w:jc w:val="right"/>
            </w:pPr>
            <w:r>
              <w:rPr>
                <w:sz w:val="18"/>
              </w:rPr>
              <w:t>0,00</w:t>
            </w:r>
          </w:p>
        </w:tc>
        <w:tc>
          <w:tcPr>
            <w:tcW w:w="700" w:type="dxa"/>
            <w:tcMar>
              <w:top w:w="0" w:type="dxa"/>
              <w:bottom w:w="0" w:type="dxa"/>
            </w:tcMar>
            <w:vAlign w:val="center"/>
          </w:tcPr>
          <w:p w14:paraId="1258E7BD" w14:textId="77777777" w:rsidR="003329F2" w:rsidRDefault="00000000">
            <w:pPr>
              <w:keepNext/>
              <w:keepLines/>
              <w:spacing w:after="0" w:line="240" w:lineRule="auto"/>
              <w:jc w:val="right"/>
            </w:pPr>
            <w:r>
              <w:rPr>
                <w:sz w:val="18"/>
              </w:rPr>
              <w:t>-</w:t>
            </w:r>
          </w:p>
        </w:tc>
      </w:tr>
      <w:tr w:rsidR="003329F2" w14:paraId="7D90597A" w14:textId="77777777">
        <w:tblPrEx>
          <w:tblCellMar>
            <w:top w:w="0" w:type="dxa"/>
            <w:bottom w:w="0" w:type="dxa"/>
          </w:tblCellMar>
        </w:tblPrEx>
        <w:trPr>
          <w:cantSplit/>
          <w:trHeight w:val="560"/>
        </w:trPr>
        <w:tc>
          <w:tcPr>
            <w:tcW w:w="700" w:type="dxa"/>
            <w:tcMar>
              <w:top w:w="0" w:type="dxa"/>
              <w:bottom w:w="0" w:type="dxa"/>
            </w:tcMar>
            <w:vAlign w:val="center"/>
          </w:tcPr>
          <w:p w14:paraId="74AE2C71" w14:textId="77777777" w:rsidR="003329F2" w:rsidRDefault="003329F2">
            <w:pPr>
              <w:keepNext/>
              <w:keepLines/>
              <w:spacing w:after="0" w:line="240" w:lineRule="auto"/>
            </w:pPr>
          </w:p>
        </w:tc>
        <w:tc>
          <w:tcPr>
            <w:tcW w:w="3180" w:type="dxa"/>
            <w:tcMar>
              <w:top w:w="0" w:type="dxa"/>
              <w:bottom w:w="0" w:type="dxa"/>
            </w:tcMar>
            <w:vAlign w:val="center"/>
          </w:tcPr>
          <w:p w14:paraId="58EBE81B" w14:textId="77777777" w:rsidR="003329F2" w:rsidRDefault="00000000">
            <w:pPr>
              <w:keepNext/>
              <w:keepLines/>
              <w:spacing w:after="0" w:line="240" w:lineRule="auto"/>
            </w:pPr>
            <w:r>
              <w:rPr>
                <w:b/>
                <w:sz w:val="18"/>
              </w:rPr>
              <w:t>VIŠAK/MANJAK PRIMITAKA OD FINANCIJSKE IMOVINE I ZADUŽIVANJA (šifre 8-5, 5-8)</w:t>
            </w:r>
          </w:p>
        </w:tc>
        <w:tc>
          <w:tcPr>
            <w:tcW w:w="700" w:type="dxa"/>
            <w:tcMar>
              <w:top w:w="0" w:type="dxa"/>
              <w:bottom w:w="0" w:type="dxa"/>
            </w:tcMar>
            <w:vAlign w:val="center"/>
          </w:tcPr>
          <w:p w14:paraId="6D3433CA" w14:textId="77777777" w:rsidR="003329F2" w:rsidRDefault="00000000">
            <w:pPr>
              <w:keepNext/>
              <w:keepLines/>
              <w:spacing w:after="0" w:line="240" w:lineRule="auto"/>
            </w:pPr>
            <w:r>
              <w:rPr>
                <w:b/>
                <w:sz w:val="18"/>
              </w:rPr>
              <w:t>X003, Y003</w:t>
            </w:r>
          </w:p>
        </w:tc>
        <w:tc>
          <w:tcPr>
            <w:tcW w:w="1860" w:type="dxa"/>
            <w:tcMar>
              <w:top w:w="0" w:type="dxa"/>
              <w:bottom w:w="0" w:type="dxa"/>
            </w:tcMar>
            <w:vAlign w:val="center"/>
          </w:tcPr>
          <w:p w14:paraId="06B3C060" w14:textId="77777777" w:rsidR="003329F2" w:rsidRDefault="00000000">
            <w:pPr>
              <w:keepNext/>
              <w:keepLines/>
              <w:spacing w:after="0" w:line="240" w:lineRule="auto"/>
              <w:jc w:val="right"/>
            </w:pPr>
            <w:r>
              <w:rPr>
                <w:b/>
                <w:sz w:val="18"/>
              </w:rPr>
              <w:t>0,00</w:t>
            </w:r>
          </w:p>
        </w:tc>
        <w:tc>
          <w:tcPr>
            <w:tcW w:w="1860" w:type="dxa"/>
            <w:tcMar>
              <w:top w:w="0" w:type="dxa"/>
              <w:bottom w:w="0" w:type="dxa"/>
            </w:tcMar>
            <w:vAlign w:val="center"/>
          </w:tcPr>
          <w:p w14:paraId="38E7DD3F" w14:textId="77777777" w:rsidR="003329F2" w:rsidRDefault="00000000">
            <w:pPr>
              <w:keepNext/>
              <w:keepLines/>
              <w:spacing w:after="0" w:line="240" w:lineRule="auto"/>
              <w:jc w:val="right"/>
            </w:pPr>
            <w:r>
              <w:rPr>
                <w:b/>
                <w:sz w:val="18"/>
              </w:rPr>
              <w:t>0,00</w:t>
            </w:r>
          </w:p>
        </w:tc>
        <w:tc>
          <w:tcPr>
            <w:tcW w:w="700" w:type="dxa"/>
            <w:tcMar>
              <w:top w:w="0" w:type="dxa"/>
              <w:bottom w:w="0" w:type="dxa"/>
            </w:tcMar>
            <w:vAlign w:val="center"/>
          </w:tcPr>
          <w:p w14:paraId="321F8078" w14:textId="77777777" w:rsidR="003329F2" w:rsidRDefault="00000000">
            <w:pPr>
              <w:keepNext/>
              <w:keepLines/>
              <w:spacing w:after="0" w:line="240" w:lineRule="auto"/>
              <w:jc w:val="right"/>
            </w:pPr>
            <w:r>
              <w:rPr>
                <w:b/>
                <w:sz w:val="18"/>
              </w:rPr>
              <w:t>-</w:t>
            </w:r>
          </w:p>
        </w:tc>
      </w:tr>
      <w:tr w:rsidR="003329F2" w14:paraId="04F2EA5D" w14:textId="77777777">
        <w:tblPrEx>
          <w:tblCellMar>
            <w:top w:w="0" w:type="dxa"/>
            <w:bottom w:w="0" w:type="dxa"/>
          </w:tblCellMar>
        </w:tblPrEx>
        <w:trPr>
          <w:cantSplit/>
          <w:trHeight w:val="560"/>
        </w:trPr>
        <w:tc>
          <w:tcPr>
            <w:tcW w:w="700" w:type="dxa"/>
            <w:tcMar>
              <w:top w:w="0" w:type="dxa"/>
              <w:bottom w:w="0" w:type="dxa"/>
            </w:tcMar>
            <w:vAlign w:val="center"/>
          </w:tcPr>
          <w:p w14:paraId="25C58E04" w14:textId="77777777" w:rsidR="003329F2" w:rsidRDefault="003329F2">
            <w:pPr>
              <w:keepNext/>
              <w:keepLines/>
              <w:spacing w:after="0" w:line="240" w:lineRule="auto"/>
            </w:pPr>
          </w:p>
        </w:tc>
        <w:tc>
          <w:tcPr>
            <w:tcW w:w="3180" w:type="dxa"/>
            <w:tcMar>
              <w:top w:w="0" w:type="dxa"/>
              <w:bottom w:w="0" w:type="dxa"/>
            </w:tcMar>
            <w:vAlign w:val="center"/>
          </w:tcPr>
          <w:p w14:paraId="26E5EA20" w14:textId="77777777" w:rsidR="003329F2" w:rsidRDefault="00000000">
            <w:pPr>
              <w:keepNext/>
              <w:keepLines/>
              <w:spacing w:after="0" w:line="240" w:lineRule="auto"/>
            </w:pPr>
            <w:r>
              <w:rPr>
                <w:b/>
                <w:sz w:val="18"/>
              </w:rPr>
              <w:t>VIŠAK PRIHODA I PRIMITAKA (šifre X678-Y345)</w:t>
            </w:r>
          </w:p>
        </w:tc>
        <w:tc>
          <w:tcPr>
            <w:tcW w:w="700" w:type="dxa"/>
            <w:tcMar>
              <w:top w:w="0" w:type="dxa"/>
              <w:bottom w:w="0" w:type="dxa"/>
            </w:tcMar>
            <w:vAlign w:val="center"/>
          </w:tcPr>
          <w:p w14:paraId="5D5389B7" w14:textId="77777777" w:rsidR="003329F2" w:rsidRDefault="00000000">
            <w:pPr>
              <w:keepNext/>
              <w:keepLines/>
              <w:spacing w:after="0" w:line="240" w:lineRule="auto"/>
            </w:pPr>
            <w:r>
              <w:rPr>
                <w:b/>
                <w:sz w:val="18"/>
              </w:rPr>
              <w:t>X005</w:t>
            </w:r>
          </w:p>
        </w:tc>
        <w:tc>
          <w:tcPr>
            <w:tcW w:w="1860" w:type="dxa"/>
            <w:tcMar>
              <w:top w:w="0" w:type="dxa"/>
              <w:bottom w:w="0" w:type="dxa"/>
            </w:tcMar>
            <w:vAlign w:val="center"/>
          </w:tcPr>
          <w:p w14:paraId="68D7253E" w14:textId="77777777" w:rsidR="003329F2" w:rsidRDefault="00000000">
            <w:pPr>
              <w:keepNext/>
              <w:keepLines/>
              <w:spacing w:after="0" w:line="240" w:lineRule="auto"/>
              <w:jc w:val="right"/>
            </w:pPr>
            <w:r>
              <w:rPr>
                <w:b/>
                <w:sz w:val="18"/>
              </w:rPr>
              <w:t>0,00</w:t>
            </w:r>
          </w:p>
        </w:tc>
        <w:tc>
          <w:tcPr>
            <w:tcW w:w="1860" w:type="dxa"/>
            <w:tcMar>
              <w:top w:w="0" w:type="dxa"/>
              <w:bottom w:w="0" w:type="dxa"/>
            </w:tcMar>
            <w:vAlign w:val="center"/>
          </w:tcPr>
          <w:p w14:paraId="20BCADB7" w14:textId="77777777" w:rsidR="003329F2" w:rsidRDefault="00000000">
            <w:pPr>
              <w:keepNext/>
              <w:keepLines/>
              <w:spacing w:after="0" w:line="240" w:lineRule="auto"/>
              <w:jc w:val="right"/>
            </w:pPr>
            <w:r>
              <w:rPr>
                <w:b/>
                <w:sz w:val="18"/>
              </w:rPr>
              <w:t>15.638,35</w:t>
            </w:r>
          </w:p>
        </w:tc>
        <w:tc>
          <w:tcPr>
            <w:tcW w:w="700" w:type="dxa"/>
            <w:tcMar>
              <w:top w:w="0" w:type="dxa"/>
              <w:bottom w:w="0" w:type="dxa"/>
            </w:tcMar>
            <w:vAlign w:val="center"/>
          </w:tcPr>
          <w:p w14:paraId="0161186E" w14:textId="77777777" w:rsidR="003329F2" w:rsidRDefault="00000000">
            <w:pPr>
              <w:keepNext/>
              <w:keepLines/>
              <w:spacing w:after="0" w:line="240" w:lineRule="auto"/>
              <w:jc w:val="right"/>
            </w:pPr>
            <w:r>
              <w:rPr>
                <w:b/>
                <w:sz w:val="18"/>
              </w:rPr>
              <w:t>-</w:t>
            </w:r>
          </w:p>
        </w:tc>
      </w:tr>
    </w:tbl>
    <w:p w14:paraId="7615A050" w14:textId="77777777" w:rsidR="003329F2" w:rsidRDefault="003329F2">
      <w:pPr>
        <w:spacing w:after="0"/>
      </w:pPr>
    </w:p>
    <w:p w14:paraId="36B4210B" w14:textId="77777777" w:rsidR="003329F2" w:rsidRDefault="00000000">
      <w:r>
        <w:t xml:space="preserve">U izvještajnom razdoblju prihodi poslovanja ostvareni su u iznosu 1.495.659,84 eura što je 23,5% više u odnosu na prethodnu godinu. Povećanje prihoda ostvareno je po svim značajnim kategorijama prihoda- povećani su prihodi iz Ministarstva po osnovi povećanja cijene smještaja, povećani su prihodi iz nadležnog proračuna zbog financiranja povećanih rashoda poslovanja (usluge prehrane, pranje rublja, 13.plaća) i povećani su prihodi od HZZ po osnovi javnih radova. Najznačajnije povećanje rashoda odnosi se na rashode za zaposlene zbog </w:t>
      </w:r>
      <w:r>
        <w:lastRenderedPageBreak/>
        <w:t xml:space="preserve">priznavanja plaće za prosinac 2024. u rashode za 2025. godinu i povećanja osnovice za obračun plaća, te povećanje rashoda za pripremu obroka i pranje rublja i rashoda za računalne usluge. U izvještajnom razdoblju nisu ostvareni prihodi od prodaje nefinancijske imovine, a rashodi za nabavu nefinancijske imovine ostvareni su u iznosu 27.128,31 </w:t>
      </w:r>
      <w:proofErr w:type="spellStart"/>
      <w:r>
        <w:t>eur</w:t>
      </w:r>
      <w:proofErr w:type="spellEnd"/>
      <w:r>
        <w:t xml:space="preserve"> što je za 75.1 % manje u odnosu na prethodnu godinu kada je nabavljeno vozilo za prijevoz korisnika. U izvještajnom razdoblju nije bilo ostvarenih primitaka i izdataka od financijske imovine i zaduživanja. U razdoblju 1.siječnja do 31.prosinca 2025.godine ostvaren je višak prihoda poslovanja u iznosu 42.766,66 eura i manjak prihoda od nefinancijske imovine u iznosu 27.128,31 eura, slijedom čega je na kraju izvještajnog razdoblja ostvaren ukupan višak prihoda i primitaka u iznosu 15.638,35 eura.</w:t>
      </w:r>
    </w:p>
    <w:p w14:paraId="376486E0" w14:textId="77777777" w:rsidR="003329F2" w:rsidRDefault="00000000">
      <w:r>
        <w:br/>
      </w:r>
    </w:p>
    <w:p w14:paraId="26971E16" w14:textId="77777777" w:rsidR="003329F2" w:rsidRDefault="00000000">
      <w:pPr>
        <w:keepNext/>
        <w:spacing w:line="240" w:lineRule="auto"/>
        <w:jc w:val="center"/>
      </w:pPr>
      <w:r>
        <w:rPr>
          <w:sz w:val="28"/>
        </w:rPr>
        <w:t>Bilješka 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1E981FE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E69FC40"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2FED6F4"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5890EDA"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60BB497" w14:textId="77777777" w:rsidR="003329F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A1BADD8" w14:textId="77777777" w:rsidR="003329F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2E8F8A8" w14:textId="77777777" w:rsidR="003329F2" w:rsidRDefault="00000000">
            <w:pPr>
              <w:keepNext/>
              <w:keepLines/>
              <w:spacing w:after="0" w:line="240" w:lineRule="auto"/>
              <w:jc w:val="center"/>
            </w:pPr>
            <w:r>
              <w:rPr>
                <w:b/>
                <w:sz w:val="18"/>
              </w:rPr>
              <w:t>Indeks (%)</w:t>
            </w:r>
          </w:p>
        </w:tc>
      </w:tr>
      <w:tr w:rsidR="003329F2" w14:paraId="0F4CFBB3" w14:textId="77777777">
        <w:tblPrEx>
          <w:tblCellMar>
            <w:top w:w="0" w:type="dxa"/>
            <w:bottom w:w="0" w:type="dxa"/>
          </w:tblCellMar>
        </w:tblPrEx>
        <w:trPr>
          <w:cantSplit/>
          <w:trHeight w:val="560"/>
        </w:trPr>
        <w:tc>
          <w:tcPr>
            <w:tcW w:w="700" w:type="dxa"/>
            <w:tcMar>
              <w:top w:w="0" w:type="dxa"/>
              <w:bottom w:w="0" w:type="dxa"/>
            </w:tcMar>
            <w:vAlign w:val="center"/>
          </w:tcPr>
          <w:p w14:paraId="4D0D60DF" w14:textId="77777777" w:rsidR="003329F2" w:rsidRDefault="00000000">
            <w:pPr>
              <w:keepNext/>
              <w:keepLines/>
              <w:spacing w:after="0" w:line="240" w:lineRule="auto"/>
            </w:pPr>
            <w:r>
              <w:rPr>
                <w:sz w:val="18"/>
              </w:rPr>
              <w:t>63</w:t>
            </w:r>
          </w:p>
        </w:tc>
        <w:tc>
          <w:tcPr>
            <w:tcW w:w="3180" w:type="dxa"/>
            <w:tcMar>
              <w:top w:w="0" w:type="dxa"/>
              <w:bottom w:w="0" w:type="dxa"/>
            </w:tcMar>
            <w:vAlign w:val="center"/>
          </w:tcPr>
          <w:p w14:paraId="154A3770" w14:textId="77777777" w:rsidR="003329F2" w:rsidRDefault="00000000">
            <w:pPr>
              <w:keepNext/>
              <w:keepLines/>
              <w:spacing w:after="0" w:line="240" w:lineRule="auto"/>
            </w:pPr>
            <w:r>
              <w:rPr>
                <w:sz w:val="18"/>
              </w:rPr>
              <w:t>Pomoći iz inozemstva i od subjekata unutar općeg proračuna (šifre 631+632+633+634+635+636+637+638+639)</w:t>
            </w:r>
          </w:p>
        </w:tc>
        <w:tc>
          <w:tcPr>
            <w:tcW w:w="700" w:type="dxa"/>
            <w:tcMar>
              <w:top w:w="0" w:type="dxa"/>
              <w:bottom w:w="0" w:type="dxa"/>
            </w:tcMar>
            <w:vAlign w:val="center"/>
          </w:tcPr>
          <w:p w14:paraId="5B3D70CB" w14:textId="77777777" w:rsidR="003329F2" w:rsidRDefault="00000000">
            <w:pPr>
              <w:keepNext/>
              <w:keepLines/>
              <w:spacing w:after="0" w:line="240" w:lineRule="auto"/>
            </w:pPr>
            <w:r>
              <w:rPr>
                <w:sz w:val="18"/>
              </w:rPr>
              <w:t>63</w:t>
            </w:r>
          </w:p>
        </w:tc>
        <w:tc>
          <w:tcPr>
            <w:tcW w:w="1860" w:type="dxa"/>
            <w:tcMar>
              <w:top w:w="0" w:type="dxa"/>
              <w:bottom w:w="0" w:type="dxa"/>
            </w:tcMar>
            <w:vAlign w:val="center"/>
          </w:tcPr>
          <w:p w14:paraId="5F1D02EC" w14:textId="77777777" w:rsidR="003329F2" w:rsidRDefault="00000000">
            <w:pPr>
              <w:keepNext/>
              <w:keepLines/>
              <w:spacing w:after="0" w:line="240" w:lineRule="auto"/>
              <w:jc w:val="right"/>
            </w:pPr>
            <w:r>
              <w:rPr>
                <w:sz w:val="18"/>
              </w:rPr>
              <w:t>12.593,60</w:t>
            </w:r>
          </w:p>
        </w:tc>
        <w:tc>
          <w:tcPr>
            <w:tcW w:w="1860" w:type="dxa"/>
            <w:tcMar>
              <w:top w:w="0" w:type="dxa"/>
              <w:bottom w:w="0" w:type="dxa"/>
            </w:tcMar>
            <w:vAlign w:val="center"/>
          </w:tcPr>
          <w:p w14:paraId="7705F624" w14:textId="77777777" w:rsidR="003329F2" w:rsidRDefault="00000000">
            <w:pPr>
              <w:keepNext/>
              <w:keepLines/>
              <w:spacing w:after="0" w:line="240" w:lineRule="auto"/>
              <w:jc w:val="right"/>
            </w:pPr>
            <w:r>
              <w:rPr>
                <w:sz w:val="18"/>
              </w:rPr>
              <w:t>39.750,09</w:t>
            </w:r>
          </w:p>
        </w:tc>
        <w:tc>
          <w:tcPr>
            <w:tcW w:w="700" w:type="dxa"/>
            <w:tcMar>
              <w:top w:w="0" w:type="dxa"/>
              <w:bottom w:w="0" w:type="dxa"/>
            </w:tcMar>
            <w:vAlign w:val="center"/>
          </w:tcPr>
          <w:p w14:paraId="3AC0BE30" w14:textId="77777777" w:rsidR="003329F2" w:rsidRDefault="00000000">
            <w:pPr>
              <w:keepNext/>
              <w:keepLines/>
              <w:spacing w:after="0" w:line="240" w:lineRule="auto"/>
              <w:jc w:val="right"/>
            </w:pPr>
            <w:r>
              <w:rPr>
                <w:sz w:val="18"/>
              </w:rPr>
              <w:t>315,6</w:t>
            </w:r>
          </w:p>
        </w:tc>
      </w:tr>
    </w:tbl>
    <w:p w14:paraId="1760C7B7" w14:textId="77777777" w:rsidR="003329F2" w:rsidRDefault="003329F2">
      <w:pPr>
        <w:spacing w:after="0"/>
      </w:pPr>
    </w:p>
    <w:p w14:paraId="76DA681B" w14:textId="77777777" w:rsidR="003329F2" w:rsidRDefault="00000000">
      <w:r>
        <w:t>Iznos se odnosi na ostvarene prihode od Hrvatskog zavoda za zapošljavanje za financiranje plaća zaposlenih kroz projekt javnih radova.</w:t>
      </w:r>
    </w:p>
    <w:p w14:paraId="33D8CF97" w14:textId="77777777" w:rsidR="003329F2" w:rsidRDefault="003329F2"/>
    <w:p w14:paraId="1FA0B065" w14:textId="77777777" w:rsidR="003329F2" w:rsidRDefault="00000000">
      <w:pPr>
        <w:keepNext/>
        <w:spacing w:line="240" w:lineRule="auto"/>
        <w:jc w:val="center"/>
      </w:pPr>
      <w:r>
        <w:rPr>
          <w:sz w:val="28"/>
        </w:rPr>
        <w:t>Bilješka 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778D839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29BD2AD"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EEE3BB2"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474F773"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645E42C" w14:textId="77777777" w:rsidR="003329F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24F4D52" w14:textId="77777777" w:rsidR="003329F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755F464" w14:textId="77777777" w:rsidR="003329F2" w:rsidRDefault="00000000">
            <w:pPr>
              <w:keepNext/>
              <w:keepLines/>
              <w:spacing w:after="0" w:line="240" w:lineRule="auto"/>
              <w:jc w:val="center"/>
            </w:pPr>
            <w:r>
              <w:rPr>
                <w:b/>
                <w:sz w:val="18"/>
              </w:rPr>
              <w:t>Indeks (%)</w:t>
            </w:r>
          </w:p>
        </w:tc>
      </w:tr>
      <w:tr w:rsidR="003329F2" w14:paraId="2456E70D" w14:textId="77777777">
        <w:tblPrEx>
          <w:tblCellMar>
            <w:top w:w="0" w:type="dxa"/>
            <w:bottom w:w="0" w:type="dxa"/>
          </w:tblCellMar>
        </w:tblPrEx>
        <w:trPr>
          <w:cantSplit/>
          <w:trHeight w:val="560"/>
        </w:trPr>
        <w:tc>
          <w:tcPr>
            <w:tcW w:w="700" w:type="dxa"/>
            <w:tcMar>
              <w:top w:w="0" w:type="dxa"/>
              <w:bottom w:w="0" w:type="dxa"/>
            </w:tcMar>
            <w:vAlign w:val="center"/>
          </w:tcPr>
          <w:p w14:paraId="0AFEDC01" w14:textId="77777777" w:rsidR="003329F2" w:rsidRDefault="00000000">
            <w:pPr>
              <w:keepNext/>
              <w:keepLines/>
              <w:spacing w:after="0" w:line="240" w:lineRule="auto"/>
            </w:pPr>
            <w:r>
              <w:rPr>
                <w:sz w:val="18"/>
              </w:rPr>
              <w:t>6341</w:t>
            </w:r>
          </w:p>
        </w:tc>
        <w:tc>
          <w:tcPr>
            <w:tcW w:w="3180" w:type="dxa"/>
            <w:tcMar>
              <w:top w:w="0" w:type="dxa"/>
              <w:bottom w:w="0" w:type="dxa"/>
            </w:tcMar>
            <w:vAlign w:val="center"/>
          </w:tcPr>
          <w:p w14:paraId="6E4ACE3A" w14:textId="77777777" w:rsidR="003329F2" w:rsidRDefault="00000000">
            <w:pPr>
              <w:keepNext/>
              <w:keepLines/>
              <w:spacing w:after="0" w:line="240" w:lineRule="auto"/>
            </w:pPr>
            <w:r>
              <w:rPr>
                <w:sz w:val="18"/>
              </w:rPr>
              <w:t>Tekuće pomoći od izvanproračunskih korisnika</w:t>
            </w:r>
          </w:p>
        </w:tc>
        <w:tc>
          <w:tcPr>
            <w:tcW w:w="700" w:type="dxa"/>
            <w:tcMar>
              <w:top w:w="0" w:type="dxa"/>
              <w:bottom w:w="0" w:type="dxa"/>
            </w:tcMar>
            <w:vAlign w:val="center"/>
          </w:tcPr>
          <w:p w14:paraId="46D68C4B" w14:textId="77777777" w:rsidR="003329F2" w:rsidRDefault="00000000">
            <w:pPr>
              <w:keepNext/>
              <w:keepLines/>
              <w:spacing w:after="0" w:line="240" w:lineRule="auto"/>
            </w:pPr>
            <w:r>
              <w:rPr>
                <w:sz w:val="18"/>
              </w:rPr>
              <w:t>6341</w:t>
            </w:r>
          </w:p>
        </w:tc>
        <w:tc>
          <w:tcPr>
            <w:tcW w:w="1860" w:type="dxa"/>
            <w:tcMar>
              <w:top w:w="0" w:type="dxa"/>
              <w:bottom w:w="0" w:type="dxa"/>
            </w:tcMar>
            <w:vAlign w:val="center"/>
          </w:tcPr>
          <w:p w14:paraId="2FD0F196" w14:textId="77777777" w:rsidR="003329F2" w:rsidRDefault="00000000">
            <w:pPr>
              <w:keepNext/>
              <w:keepLines/>
              <w:spacing w:after="0" w:line="240" w:lineRule="auto"/>
              <w:jc w:val="right"/>
            </w:pPr>
            <w:r>
              <w:rPr>
                <w:sz w:val="18"/>
              </w:rPr>
              <w:t>6.113,60</w:t>
            </w:r>
          </w:p>
        </w:tc>
        <w:tc>
          <w:tcPr>
            <w:tcW w:w="1860" w:type="dxa"/>
            <w:tcMar>
              <w:top w:w="0" w:type="dxa"/>
              <w:bottom w:w="0" w:type="dxa"/>
            </w:tcMar>
            <w:vAlign w:val="center"/>
          </w:tcPr>
          <w:p w14:paraId="7DD0E73F" w14:textId="77777777" w:rsidR="003329F2" w:rsidRDefault="00000000">
            <w:pPr>
              <w:keepNext/>
              <w:keepLines/>
              <w:spacing w:after="0" w:line="240" w:lineRule="auto"/>
              <w:jc w:val="right"/>
            </w:pPr>
            <w:r>
              <w:rPr>
                <w:sz w:val="18"/>
              </w:rPr>
              <w:t>33.270,09</w:t>
            </w:r>
          </w:p>
        </w:tc>
        <w:tc>
          <w:tcPr>
            <w:tcW w:w="700" w:type="dxa"/>
            <w:tcMar>
              <w:top w:w="0" w:type="dxa"/>
              <w:bottom w:w="0" w:type="dxa"/>
            </w:tcMar>
            <w:vAlign w:val="center"/>
          </w:tcPr>
          <w:p w14:paraId="52446155" w14:textId="77777777" w:rsidR="003329F2" w:rsidRDefault="00000000">
            <w:pPr>
              <w:keepNext/>
              <w:keepLines/>
              <w:spacing w:after="0" w:line="240" w:lineRule="auto"/>
              <w:jc w:val="right"/>
            </w:pPr>
            <w:r>
              <w:rPr>
                <w:sz w:val="18"/>
              </w:rPr>
              <w:t>544,2</w:t>
            </w:r>
          </w:p>
        </w:tc>
      </w:tr>
    </w:tbl>
    <w:p w14:paraId="34EAAA27" w14:textId="77777777" w:rsidR="003329F2" w:rsidRDefault="003329F2">
      <w:pPr>
        <w:spacing w:after="0"/>
      </w:pPr>
    </w:p>
    <w:p w14:paraId="298E5823" w14:textId="77777777" w:rsidR="003329F2" w:rsidRDefault="00000000">
      <w:r>
        <w:t>Iznos se odnosi na ostvarene prihode od Hrvatskog zavoda za zapošljavanje za financiranje plaća zaposlenih kroz projekt javnih radova.</w:t>
      </w:r>
    </w:p>
    <w:p w14:paraId="54D7F282" w14:textId="77777777" w:rsidR="003329F2" w:rsidRDefault="003329F2"/>
    <w:p w14:paraId="7B7F3D1D" w14:textId="77777777" w:rsidR="003329F2" w:rsidRDefault="00000000">
      <w:pPr>
        <w:keepNext/>
        <w:spacing w:line="240" w:lineRule="auto"/>
        <w:jc w:val="center"/>
      </w:pPr>
      <w:r>
        <w:rPr>
          <w:sz w:val="28"/>
        </w:rPr>
        <w:t>Bilješka 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685D690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B588435"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DD4DD10"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A3199AA"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BE0C321" w14:textId="77777777" w:rsidR="003329F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8AAC7EA" w14:textId="77777777" w:rsidR="003329F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AC450D2" w14:textId="77777777" w:rsidR="003329F2" w:rsidRDefault="00000000">
            <w:pPr>
              <w:keepNext/>
              <w:keepLines/>
              <w:spacing w:after="0" w:line="240" w:lineRule="auto"/>
              <w:jc w:val="center"/>
            </w:pPr>
            <w:r>
              <w:rPr>
                <w:b/>
                <w:sz w:val="18"/>
              </w:rPr>
              <w:t>Indeks (%)</w:t>
            </w:r>
          </w:p>
        </w:tc>
      </w:tr>
      <w:tr w:rsidR="003329F2" w14:paraId="7C49F7ED" w14:textId="77777777">
        <w:tblPrEx>
          <w:tblCellMar>
            <w:top w:w="0" w:type="dxa"/>
            <w:bottom w:w="0" w:type="dxa"/>
          </w:tblCellMar>
        </w:tblPrEx>
        <w:trPr>
          <w:cantSplit/>
          <w:trHeight w:val="560"/>
        </w:trPr>
        <w:tc>
          <w:tcPr>
            <w:tcW w:w="700" w:type="dxa"/>
            <w:tcMar>
              <w:top w:w="0" w:type="dxa"/>
              <w:bottom w:w="0" w:type="dxa"/>
            </w:tcMar>
            <w:vAlign w:val="center"/>
          </w:tcPr>
          <w:p w14:paraId="6292D1C3" w14:textId="77777777" w:rsidR="003329F2" w:rsidRDefault="00000000">
            <w:pPr>
              <w:keepNext/>
              <w:keepLines/>
              <w:spacing w:after="0" w:line="240" w:lineRule="auto"/>
            </w:pPr>
            <w:r>
              <w:rPr>
                <w:sz w:val="18"/>
              </w:rPr>
              <w:t>6361</w:t>
            </w:r>
          </w:p>
        </w:tc>
        <w:tc>
          <w:tcPr>
            <w:tcW w:w="3180" w:type="dxa"/>
            <w:tcMar>
              <w:top w:w="0" w:type="dxa"/>
              <w:bottom w:w="0" w:type="dxa"/>
            </w:tcMar>
            <w:vAlign w:val="center"/>
          </w:tcPr>
          <w:p w14:paraId="358603BA" w14:textId="77777777" w:rsidR="003329F2" w:rsidRDefault="00000000">
            <w:pPr>
              <w:keepNext/>
              <w:keepLines/>
              <w:spacing w:after="0" w:line="240" w:lineRule="auto"/>
            </w:pPr>
            <w:r>
              <w:rPr>
                <w:sz w:val="18"/>
              </w:rPr>
              <w:t>Tekuće pomoći proračunskim korisnicima iz proračuna koji im nije nadležan</w:t>
            </w:r>
          </w:p>
        </w:tc>
        <w:tc>
          <w:tcPr>
            <w:tcW w:w="700" w:type="dxa"/>
            <w:tcMar>
              <w:top w:w="0" w:type="dxa"/>
              <w:bottom w:w="0" w:type="dxa"/>
            </w:tcMar>
            <w:vAlign w:val="center"/>
          </w:tcPr>
          <w:p w14:paraId="7149C0E6" w14:textId="77777777" w:rsidR="003329F2" w:rsidRDefault="00000000">
            <w:pPr>
              <w:keepNext/>
              <w:keepLines/>
              <w:spacing w:after="0" w:line="240" w:lineRule="auto"/>
            </w:pPr>
            <w:r>
              <w:rPr>
                <w:sz w:val="18"/>
              </w:rPr>
              <w:t>6361</w:t>
            </w:r>
          </w:p>
        </w:tc>
        <w:tc>
          <w:tcPr>
            <w:tcW w:w="1860" w:type="dxa"/>
            <w:tcMar>
              <w:top w:w="0" w:type="dxa"/>
              <w:bottom w:w="0" w:type="dxa"/>
            </w:tcMar>
            <w:vAlign w:val="center"/>
          </w:tcPr>
          <w:p w14:paraId="357A1896" w14:textId="77777777" w:rsidR="003329F2" w:rsidRDefault="00000000">
            <w:pPr>
              <w:keepNext/>
              <w:keepLines/>
              <w:spacing w:after="0" w:line="240" w:lineRule="auto"/>
              <w:jc w:val="right"/>
            </w:pPr>
            <w:r>
              <w:rPr>
                <w:sz w:val="18"/>
              </w:rPr>
              <w:t>6.480,00</w:t>
            </w:r>
          </w:p>
        </w:tc>
        <w:tc>
          <w:tcPr>
            <w:tcW w:w="1860" w:type="dxa"/>
            <w:tcMar>
              <w:top w:w="0" w:type="dxa"/>
              <w:bottom w:w="0" w:type="dxa"/>
            </w:tcMar>
            <w:vAlign w:val="center"/>
          </w:tcPr>
          <w:p w14:paraId="280E1506" w14:textId="77777777" w:rsidR="003329F2" w:rsidRDefault="00000000">
            <w:pPr>
              <w:keepNext/>
              <w:keepLines/>
              <w:spacing w:after="0" w:line="240" w:lineRule="auto"/>
              <w:jc w:val="right"/>
            </w:pPr>
            <w:r>
              <w:rPr>
                <w:sz w:val="18"/>
              </w:rPr>
              <w:t>6.480,00</w:t>
            </w:r>
          </w:p>
        </w:tc>
        <w:tc>
          <w:tcPr>
            <w:tcW w:w="700" w:type="dxa"/>
            <w:tcMar>
              <w:top w:w="0" w:type="dxa"/>
              <w:bottom w:w="0" w:type="dxa"/>
            </w:tcMar>
            <w:vAlign w:val="center"/>
          </w:tcPr>
          <w:p w14:paraId="3F495B8D" w14:textId="77777777" w:rsidR="003329F2" w:rsidRDefault="00000000">
            <w:pPr>
              <w:keepNext/>
              <w:keepLines/>
              <w:spacing w:after="0" w:line="240" w:lineRule="auto"/>
              <w:jc w:val="right"/>
            </w:pPr>
            <w:r>
              <w:rPr>
                <w:sz w:val="18"/>
              </w:rPr>
              <w:t>100</w:t>
            </w:r>
          </w:p>
        </w:tc>
      </w:tr>
    </w:tbl>
    <w:p w14:paraId="3CB938C8" w14:textId="77777777" w:rsidR="003329F2" w:rsidRDefault="003329F2">
      <w:pPr>
        <w:spacing w:after="0"/>
      </w:pPr>
    </w:p>
    <w:p w14:paraId="28C429E6" w14:textId="77777777" w:rsidR="003329F2" w:rsidRDefault="00000000">
      <w:r>
        <w:t>Iznos se odnosi na ostvarene subvencije za troškove energenata.</w:t>
      </w:r>
    </w:p>
    <w:p w14:paraId="08881CD9" w14:textId="77777777" w:rsidR="003329F2" w:rsidRDefault="003329F2"/>
    <w:p w14:paraId="68C75E76" w14:textId="77777777" w:rsidR="003329F2" w:rsidRDefault="00000000">
      <w:pPr>
        <w:keepNext/>
        <w:spacing w:line="240" w:lineRule="auto"/>
        <w:jc w:val="center"/>
      </w:pPr>
      <w:r>
        <w:rPr>
          <w:sz w:val="28"/>
        </w:rPr>
        <w:lastRenderedPageBreak/>
        <w:t>Bilješka 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69F918F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37FC675"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7ED5E6F"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84C7955"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8D75D69" w14:textId="77777777" w:rsidR="003329F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9277370" w14:textId="77777777" w:rsidR="003329F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98477E9" w14:textId="77777777" w:rsidR="003329F2" w:rsidRDefault="00000000">
            <w:pPr>
              <w:keepNext/>
              <w:keepLines/>
              <w:spacing w:after="0" w:line="240" w:lineRule="auto"/>
              <w:jc w:val="center"/>
            </w:pPr>
            <w:r>
              <w:rPr>
                <w:b/>
                <w:sz w:val="18"/>
              </w:rPr>
              <w:t>Indeks (%)</w:t>
            </w:r>
          </w:p>
        </w:tc>
      </w:tr>
      <w:tr w:rsidR="003329F2" w14:paraId="281DB076" w14:textId="77777777">
        <w:tblPrEx>
          <w:tblCellMar>
            <w:top w:w="0" w:type="dxa"/>
            <w:bottom w:w="0" w:type="dxa"/>
          </w:tblCellMar>
        </w:tblPrEx>
        <w:trPr>
          <w:cantSplit/>
          <w:trHeight w:val="560"/>
        </w:trPr>
        <w:tc>
          <w:tcPr>
            <w:tcW w:w="700" w:type="dxa"/>
            <w:tcMar>
              <w:top w:w="0" w:type="dxa"/>
              <w:bottom w:w="0" w:type="dxa"/>
            </w:tcMar>
            <w:vAlign w:val="center"/>
          </w:tcPr>
          <w:p w14:paraId="143F5DD3" w14:textId="77777777" w:rsidR="003329F2" w:rsidRDefault="00000000">
            <w:pPr>
              <w:keepNext/>
              <w:keepLines/>
              <w:spacing w:after="0" w:line="240" w:lineRule="auto"/>
            </w:pPr>
            <w:r>
              <w:rPr>
                <w:sz w:val="18"/>
              </w:rPr>
              <w:t>65</w:t>
            </w:r>
          </w:p>
        </w:tc>
        <w:tc>
          <w:tcPr>
            <w:tcW w:w="3180" w:type="dxa"/>
            <w:tcMar>
              <w:top w:w="0" w:type="dxa"/>
              <w:bottom w:w="0" w:type="dxa"/>
            </w:tcMar>
            <w:vAlign w:val="center"/>
          </w:tcPr>
          <w:p w14:paraId="5DFF33EE" w14:textId="77777777" w:rsidR="003329F2" w:rsidRDefault="00000000">
            <w:pPr>
              <w:keepNext/>
              <w:keepLines/>
              <w:spacing w:after="0" w:line="240" w:lineRule="auto"/>
            </w:pPr>
            <w:r>
              <w:rPr>
                <w:sz w:val="18"/>
              </w:rPr>
              <w:t>Prihodi od upravnih i administrativnih pristojbi, pristojbi po posebnim propisima i naknada (šifre 651+652+653+654)</w:t>
            </w:r>
          </w:p>
        </w:tc>
        <w:tc>
          <w:tcPr>
            <w:tcW w:w="700" w:type="dxa"/>
            <w:tcMar>
              <w:top w:w="0" w:type="dxa"/>
              <w:bottom w:w="0" w:type="dxa"/>
            </w:tcMar>
            <w:vAlign w:val="center"/>
          </w:tcPr>
          <w:p w14:paraId="227807DB" w14:textId="77777777" w:rsidR="003329F2" w:rsidRDefault="00000000">
            <w:pPr>
              <w:keepNext/>
              <w:keepLines/>
              <w:spacing w:after="0" w:line="240" w:lineRule="auto"/>
            </w:pPr>
            <w:r>
              <w:rPr>
                <w:sz w:val="18"/>
              </w:rPr>
              <w:t>65</w:t>
            </w:r>
          </w:p>
        </w:tc>
        <w:tc>
          <w:tcPr>
            <w:tcW w:w="1860" w:type="dxa"/>
            <w:tcMar>
              <w:top w:w="0" w:type="dxa"/>
              <w:bottom w:w="0" w:type="dxa"/>
            </w:tcMar>
            <w:vAlign w:val="center"/>
          </w:tcPr>
          <w:p w14:paraId="71D22097" w14:textId="77777777" w:rsidR="003329F2" w:rsidRDefault="00000000">
            <w:pPr>
              <w:keepNext/>
              <w:keepLines/>
              <w:spacing w:after="0" w:line="240" w:lineRule="auto"/>
              <w:jc w:val="right"/>
            </w:pPr>
            <w:r>
              <w:rPr>
                <w:sz w:val="18"/>
              </w:rPr>
              <w:t>1.011.521,42</w:t>
            </w:r>
          </w:p>
        </w:tc>
        <w:tc>
          <w:tcPr>
            <w:tcW w:w="1860" w:type="dxa"/>
            <w:tcMar>
              <w:top w:w="0" w:type="dxa"/>
              <w:bottom w:w="0" w:type="dxa"/>
            </w:tcMar>
            <w:vAlign w:val="center"/>
          </w:tcPr>
          <w:p w14:paraId="25393E5D" w14:textId="77777777" w:rsidR="003329F2" w:rsidRDefault="00000000">
            <w:pPr>
              <w:keepNext/>
              <w:keepLines/>
              <w:spacing w:after="0" w:line="240" w:lineRule="auto"/>
              <w:jc w:val="right"/>
            </w:pPr>
            <w:r>
              <w:rPr>
                <w:sz w:val="18"/>
              </w:rPr>
              <w:t>1.124.757,35</w:t>
            </w:r>
          </w:p>
        </w:tc>
        <w:tc>
          <w:tcPr>
            <w:tcW w:w="700" w:type="dxa"/>
            <w:tcMar>
              <w:top w:w="0" w:type="dxa"/>
              <w:bottom w:w="0" w:type="dxa"/>
            </w:tcMar>
            <w:vAlign w:val="center"/>
          </w:tcPr>
          <w:p w14:paraId="201A32DB" w14:textId="77777777" w:rsidR="003329F2" w:rsidRDefault="00000000">
            <w:pPr>
              <w:keepNext/>
              <w:keepLines/>
              <w:spacing w:after="0" w:line="240" w:lineRule="auto"/>
              <w:jc w:val="right"/>
            </w:pPr>
            <w:r>
              <w:rPr>
                <w:sz w:val="18"/>
              </w:rPr>
              <w:t>111,2</w:t>
            </w:r>
          </w:p>
        </w:tc>
      </w:tr>
    </w:tbl>
    <w:p w14:paraId="16075B7D" w14:textId="77777777" w:rsidR="003329F2" w:rsidRDefault="003329F2">
      <w:pPr>
        <w:spacing w:after="0"/>
      </w:pPr>
    </w:p>
    <w:p w14:paraId="334D7BDD" w14:textId="77777777" w:rsidR="003329F2" w:rsidRDefault="00000000">
      <w:r>
        <w:t>Povećanje u odnosu na prethodnu godinu rezultat je povećanja cijena smještaja korisnika po Ugovoru s Ministarstvom rada, mirovinskog sustava, obitelji i socijalne politike od 1.1.2025.</w:t>
      </w:r>
    </w:p>
    <w:p w14:paraId="3E95A2A1" w14:textId="77777777" w:rsidR="003329F2" w:rsidRDefault="003329F2"/>
    <w:p w14:paraId="0D8CD00F" w14:textId="77777777" w:rsidR="003329F2" w:rsidRDefault="00000000">
      <w:pPr>
        <w:keepNext/>
        <w:spacing w:line="240" w:lineRule="auto"/>
        <w:jc w:val="center"/>
      </w:pPr>
      <w:r>
        <w:rPr>
          <w:sz w:val="28"/>
        </w:rPr>
        <w:t>Bilješka 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56D8139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E16938E"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7327B30E"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50D25AF"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46B7F51" w14:textId="77777777" w:rsidR="003329F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B0030F9" w14:textId="77777777" w:rsidR="003329F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163A5B0" w14:textId="77777777" w:rsidR="003329F2" w:rsidRDefault="00000000">
            <w:pPr>
              <w:keepNext/>
              <w:keepLines/>
              <w:spacing w:after="0" w:line="240" w:lineRule="auto"/>
              <w:jc w:val="center"/>
            </w:pPr>
            <w:r>
              <w:rPr>
                <w:b/>
                <w:sz w:val="18"/>
              </w:rPr>
              <w:t>Indeks (%)</w:t>
            </w:r>
          </w:p>
        </w:tc>
      </w:tr>
      <w:tr w:rsidR="003329F2" w14:paraId="57735F7D" w14:textId="77777777">
        <w:tblPrEx>
          <w:tblCellMar>
            <w:top w:w="0" w:type="dxa"/>
            <w:bottom w:w="0" w:type="dxa"/>
          </w:tblCellMar>
        </w:tblPrEx>
        <w:trPr>
          <w:cantSplit/>
          <w:trHeight w:val="560"/>
        </w:trPr>
        <w:tc>
          <w:tcPr>
            <w:tcW w:w="700" w:type="dxa"/>
            <w:tcMar>
              <w:top w:w="0" w:type="dxa"/>
              <w:bottom w:w="0" w:type="dxa"/>
            </w:tcMar>
            <w:vAlign w:val="center"/>
          </w:tcPr>
          <w:p w14:paraId="3A75ADED" w14:textId="77777777" w:rsidR="003329F2" w:rsidRDefault="00000000">
            <w:pPr>
              <w:keepNext/>
              <w:keepLines/>
              <w:spacing w:after="0" w:line="240" w:lineRule="auto"/>
            </w:pPr>
            <w:r>
              <w:rPr>
                <w:sz w:val="18"/>
              </w:rPr>
              <w:t>6631</w:t>
            </w:r>
          </w:p>
        </w:tc>
        <w:tc>
          <w:tcPr>
            <w:tcW w:w="3180" w:type="dxa"/>
            <w:tcMar>
              <w:top w:w="0" w:type="dxa"/>
              <w:bottom w:w="0" w:type="dxa"/>
            </w:tcMar>
            <w:vAlign w:val="center"/>
          </w:tcPr>
          <w:p w14:paraId="4F9E3DE8" w14:textId="77777777" w:rsidR="003329F2" w:rsidRDefault="00000000">
            <w:pPr>
              <w:keepNext/>
              <w:keepLines/>
              <w:spacing w:after="0" w:line="240" w:lineRule="auto"/>
            </w:pPr>
            <w:r>
              <w:rPr>
                <w:sz w:val="18"/>
              </w:rPr>
              <w:t>Tekuće donacije</w:t>
            </w:r>
          </w:p>
        </w:tc>
        <w:tc>
          <w:tcPr>
            <w:tcW w:w="700" w:type="dxa"/>
            <w:tcMar>
              <w:top w:w="0" w:type="dxa"/>
              <w:bottom w:w="0" w:type="dxa"/>
            </w:tcMar>
            <w:vAlign w:val="center"/>
          </w:tcPr>
          <w:p w14:paraId="04B9BAD6" w14:textId="77777777" w:rsidR="003329F2" w:rsidRDefault="00000000">
            <w:pPr>
              <w:keepNext/>
              <w:keepLines/>
              <w:spacing w:after="0" w:line="240" w:lineRule="auto"/>
            </w:pPr>
            <w:r>
              <w:rPr>
                <w:sz w:val="18"/>
              </w:rPr>
              <w:t>6631</w:t>
            </w:r>
          </w:p>
        </w:tc>
        <w:tc>
          <w:tcPr>
            <w:tcW w:w="1860" w:type="dxa"/>
            <w:tcMar>
              <w:top w:w="0" w:type="dxa"/>
              <w:bottom w:w="0" w:type="dxa"/>
            </w:tcMar>
            <w:vAlign w:val="center"/>
          </w:tcPr>
          <w:p w14:paraId="64415724" w14:textId="77777777" w:rsidR="003329F2" w:rsidRDefault="00000000">
            <w:pPr>
              <w:keepNext/>
              <w:keepLines/>
              <w:spacing w:after="0" w:line="240" w:lineRule="auto"/>
              <w:jc w:val="right"/>
            </w:pPr>
            <w:r>
              <w:rPr>
                <w:sz w:val="18"/>
              </w:rPr>
              <w:t>10.809,56</w:t>
            </w:r>
          </w:p>
        </w:tc>
        <w:tc>
          <w:tcPr>
            <w:tcW w:w="1860" w:type="dxa"/>
            <w:tcMar>
              <w:top w:w="0" w:type="dxa"/>
              <w:bottom w:w="0" w:type="dxa"/>
            </w:tcMar>
            <w:vAlign w:val="center"/>
          </w:tcPr>
          <w:p w14:paraId="39B8F125" w14:textId="77777777" w:rsidR="003329F2" w:rsidRDefault="00000000">
            <w:pPr>
              <w:keepNext/>
              <w:keepLines/>
              <w:spacing w:after="0" w:line="240" w:lineRule="auto"/>
              <w:jc w:val="right"/>
            </w:pPr>
            <w:r>
              <w:rPr>
                <w:sz w:val="18"/>
              </w:rPr>
              <w:t>4.425,43</w:t>
            </w:r>
          </w:p>
        </w:tc>
        <w:tc>
          <w:tcPr>
            <w:tcW w:w="700" w:type="dxa"/>
            <w:tcMar>
              <w:top w:w="0" w:type="dxa"/>
              <w:bottom w:w="0" w:type="dxa"/>
            </w:tcMar>
            <w:vAlign w:val="center"/>
          </w:tcPr>
          <w:p w14:paraId="0707F5F5" w14:textId="77777777" w:rsidR="003329F2" w:rsidRDefault="00000000">
            <w:pPr>
              <w:keepNext/>
              <w:keepLines/>
              <w:spacing w:after="0" w:line="240" w:lineRule="auto"/>
              <w:jc w:val="right"/>
            </w:pPr>
            <w:r>
              <w:rPr>
                <w:sz w:val="18"/>
              </w:rPr>
              <w:t>40,9</w:t>
            </w:r>
          </w:p>
        </w:tc>
      </w:tr>
    </w:tbl>
    <w:p w14:paraId="0023340D" w14:textId="77777777" w:rsidR="003329F2" w:rsidRDefault="003329F2">
      <w:pPr>
        <w:spacing w:after="0"/>
      </w:pPr>
    </w:p>
    <w:p w14:paraId="619090F1" w14:textId="77777777" w:rsidR="003329F2" w:rsidRDefault="00000000">
      <w:r>
        <w:t>Ostvarene su tekuće donacije od pravnih i fizičkih osoba.</w:t>
      </w:r>
    </w:p>
    <w:p w14:paraId="02154C91" w14:textId="77777777" w:rsidR="003329F2" w:rsidRDefault="003329F2"/>
    <w:p w14:paraId="0626FE77" w14:textId="77777777" w:rsidR="003329F2" w:rsidRDefault="00000000">
      <w:pPr>
        <w:keepNext/>
        <w:spacing w:line="240" w:lineRule="auto"/>
        <w:jc w:val="center"/>
      </w:pPr>
      <w:r>
        <w:rPr>
          <w:sz w:val="28"/>
        </w:rPr>
        <w:t>Bilješka 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06A2517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0FCE005"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202AE08C"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7F5230E"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24E9729" w14:textId="77777777" w:rsidR="003329F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C09AB2B" w14:textId="77777777" w:rsidR="003329F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9F85359" w14:textId="77777777" w:rsidR="003329F2" w:rsidRDefault="00000000">
            <w:pPr>
              <w:keepNext/>
              <w:keepLines/>
              <w:spacing w:after="0" w:line="240" w:lineRule="auto"/>
              <w:jc w:val="center"/>
            </w:pPr>
            <w:r>
              <w:rPr>
                <w:b/>
                <w:sz w:val="18"/>
              </w:rPr>
              <w:t>Indeks (%)</w:t>
            </w:r>
          </w:p>
        </w:tc>
      </w:tr>
      <w:tr w:rsidR="003329F2" w14:paraId="2F831B7A" w14:textId="77777777">
        <w:tblPrEx>
          <w:tblCellMar>
            <w:top w:w="0" w:type="dxa"/>
            <w:bottom w:w="0" w:type="dxa"/>
          </w:tblCellMar>
        </w:tblPrEx>
        <w:trPr>
          <w:cantSplit/>
          <w:trHeight w:val="560"/>
        </w:trPr>
        <w:tc>
          <w:tcPr>
            <w:tcW w:w="700" w:type="dxa"/>
            <w:tcMar>
              <w:top w:w="0" w:type="dxa"/>
              <w:bottom w:w="0" w:type="dxa"/>
            </w:tcMar>
            <w:vAlign w:val="center"/>
          </w:tcPr>
          <w:p w14:paraId="1C1B1E97" w14:textId="77777777" w:rsidR="003329F2" w:rsidRDefault="00000000">
            <w:pPr>
              <w:keepNext/>
              <w:keepLines/>
              <w:spacing w:after="0" w:line="240" w:lineRule="auto"/>
            </w:pPr>
            <w:r>
              <w:rPr>
                <w:sz w:val="18"/>
              </w:rPr>
              <w:t>6711</w:t>
            </w:r>
          </w:p>
        </w:tc>
        <w:tc>
          <w:tcPr>
            <w:tcW w:w="3180" w:type="dxa"/>
            <w:tcMar>
              <w:top w:w="0" w:type="dxa"/>
              <w:bottom w:w="0" w:type="dxa"/>
            </w:tcMar>
            <w:vAlign w:val="center"/>
          </w:tcPr>
          <w:p w14:paraId="577145B8" w14:textId="77777777" w:rsidR="003329F2" w:rsidRDefault="00000000">
            <w:pPr>
              <w:keepNext/>
              <w:keepLines/>
              <w:spacing w:after="0" w:line="240" w:lineRule="auto"/>
            </w:pPr>
            <w:r>
              <w:rPr>
                <w:sz w:val="18"/>
              </w:rPr>
              <w:t>Prihodi iz nadležnog proračuna za financiranje rashoda poslovanja</w:t>
            </w:r>
          </w:p>
        </w:tc>
        <w:tc>
          <w:tcPr>
            <w:tcW w:w="700" w:type="dxa"/>
            <w:tcMar>
              <w:top w:w="0" w:type="dxa"/>
              <w:bottom w:w="0" w:type="dxa"/>
            </w:tcMar>
            <w:vAlign w:val="center"/>
          </w:tcPr>
          <w:p w14:paraId="2F8C8CE5" w14:textId="77777777" w:rsidR="003329F2" w:rsidRDefault="00000000">
            <w:pPr>
              <w:keepNext/>
              <w:keepLines/>
              <w:spacing w:after="0" w:line="240" w:lineRule="auto"/>
            </w:pPr>
            <w:r>
              <w:rPr>
                <w:sz w:val="18"/>
              </w:rPr>
              <w:t>6711</w:t>
            </w:r>
          </w:p>
        </w:tc>
        <w:tc>
          <w:tcPr>
            <w:tcW w:w="1860" w:type="dxa"/>
            <w:tcMar>
              <w:top w:w="0" w:type="dxa"/>
              <w:bottom w:w="0" w:type="dxa"/>
            </w:tcMar>
            <w:vAlign w:val="center"/>
          </w:tcPr>
          <w:p w14:paraId="3E05F9FE" w14:textId="77777777" w:rsidR="003329F2" w:rsidRDefault="00000000">
            <w:pPr>
              <w:keepNext/>
              <w:keepLines/>
              <w:spacing w:after="0" w:line="240" w:lineRule="auto"/>
              <w:jc w:val="right"/>
            </w:pPr>
            <w:r>
              <w:rPr>
                <w:sz w:val="18"/>
              </w:rPr>
              <w:t>176.098,26</w:t>
            </w:r>
          </w:p>
        </w:tc>
        <w:tc>
          <w:tcPr>
            <w:tcW w:w="1860" w:type="dxa"/>
            <w:tcMar>
              <w:top w:w="0" w:type="dxa"/>
              <w:bottom w:w="0" w:type="dxa"/>
            </w:tcMar>
            <w:vAlign w:val="center"/>
          </w:tcPr>
          <w:p w14:paraId="06546616" w14:textId="77777777" w:rsidR="003329F2" w:rsidRDefault="00000000">
            <w:pPr>
              <w:keepNext/>
              <w:keepLines/>
              <w:spacing w:after="0" w:line="240" w:lineRule="auto"/>
              <w:jc w:val="right"/>
            </w:pPr>
            <w:r>
              <w:rPr>
                <w:sz w:val="18"/>
              </w:rPr>
              <w:t>326.726,97</w:t>
            </w:r>
          </w:p>
        </w:tc>
        <w:tc>
          <w:tcPr>
            <w:tcW w:w="700" w:type="dxa"/>
            <w:tcMar>
              <w:top w:w="0" w:type="dxa"/>
              <w:bottom w:w="0" w:type="dxa"/>
            </w:tcMar>
            <w:vAlign w:val="center"/>
          </w:tcPr>
          <w:p w14:paraId="6EDD012D" w14:textId="77777777" w:rsidR="003329F2" w:rsidRDefault="00000000">
            <w:pPr>
              <w:keepNext/>
              <w:keepLines/>
              <w:spacing w:after="0" w:line="240" w:lineRule="auto"/>
              <w:jc w:val="right"/>
            </w:pPr>
            <w:r>
              <w:rPr>
                <w:sz w:val="18"/>
              </w:rPr>
              <w:t>185,5</w:t>
            </w:r>
          </w:p>
        </w:tc>
      </w:tr>
    </w:tbl>
    <w:p w14:paraId="53C1E22C" w14:textId="77777777" w:rsidR="003329F2" w:rsidRDefault="003329F2">
      <w:pPr>
        <w:spacing w:after="0"/>
      </w:pPr>
    </w:p>
    <w:p w14:paraId="500E9D6E" w14:textId="77777777" w:rsidR="003329F2" w:rsidRDefault="00000000">
      <w:r>
        <w:t>Nakon preseljenja korisnika iz privremenog prostora OB Popovača-</w:t>
      </w:r>
      <w:proofErr w:type="spellStart"/>
      <w:r>
        <w:t>Ravnik</w:t>
      </w:r>
      <w:proofErr w:type="spellEnd"/>
      <w:r>
        <w:t>, povećani su rashodi za prehranu i pranje rublja i priznati su rashodi za 13. mjesečnu plaću iz prosinca 2024., a koji se financiraju iz nadležnog proračuna.</w:t>
      </w:r>
    </w:p>
    <w:p w14:paraId="5BBA70EE" w14:textId="77777777" w:rsidR="003329F2" w:rsidRDefault="003329F2"/>
    <w:p w14:paraId="1A8B50DA" w14:textId="77777777" w:rsidR="003329F2" w:rsidRDefault="00000000">
      <w:pPr>
        <w:keepNext/>
        <w:spacing w:line="240" w:lineRule="auto"/>
        <w:jc w:val="center"/>
      </w:pPr>
      <w:r>
        <w:rPr>
          <w:sz w:val="28"/>
        </w:rPr>
        <w:t>Bilješka 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3B95452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DA96E5E"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7FC0EAD"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BCBC682"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38B43E5" w14:textId="77777777" w:rsidR="003329F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0B8536C" w14:textId="77777777" w:rsidR="003329F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A654F05" w14:textId="77777777" w:rsidR="003329F2" w:rsidRDefault="00000000">
            <w:pPr>
              <w:keepNext/>
              <w:keepLines/>
              <w:spacing w:after="0" w:line="240" w:lineRule="auto"/>
              <w:jc w:val="center"/>
            </w:pPr>
            <w:r>
              <w:rPr>
                <w:b/>
                <w:sz w:val="18"/>
              </w:rPr>
              <w:t>Indeks (%)</w:t>
            </w:r>
          </w:p>
        </w:tc>
      </w:tr>
      <w:tr w:rsidR="003329F2" w14:paraId="39B7C2E1" w14:textId="77777777">
        <w:tblPrEx>
          <w:tblCellMar>
            <w:top w:w="0" w:type="dxa"/>
            <w:bottom w:w="0" w:type="dxa"/>
          </w:tblCellMar>
        </w:tblPrEx>
        <w:trPr>
          <w:cantSplit/>
          <w:trHeight w:val="560"/>
        </w:trPr>
        <w:tc>
          <w:tcPr>
            <w:tcW w:w="700" w:type="dxa"/>
            <w:tcMar>
              <w:top w:w="0" w:type="dxa"/>
              <w:bottom w:w="0" w:type="dxa"/>
            </w:tcMar>
            <w:vAlign w:val="center"/>
          </w:tcPr>
          <w:p w14:paraId="688B27A2" w14:textId="77777777" w:rsidR="003329F2" w:rsidRDefault="00000000">
            <w:pPr>
              <w:keepNext/>
              <w:keepLines/>
              <w:spacing w:after="0" w:line="240" w:lineRule="auto"/>
            </w:pPr>
            <w:r>
              <w:rPr>
                <w:sz w:val="18"/>
              </w:rPr>
              <w:t>31</w:t>
            </w:r>
          </w:p>
        </w:tc>
        <w:tc>
          <w:tcPr>
            <w:tcW w:w="3180" w:type="dxa"/>
            <w:tcMar>
              <w:top w:w="0" w:type="dxa"/>
              <w:bottom w:w="0" w:type="dxa"/>
            </w:tcMar>
            <w:vAlign w:val="center"/>
          </w:tcPr>
          <w:p w14:paraId="3D7C67B7" w14:textId="77777777" w:rsidR="003329F2" w:rsidRDefault="00000000">
            <w:pPr>
              <w:keepNext/>
              <w:keepLines/>
              <w:spacing w:after="0" w:line="240" w:lineRule="auto"/>
            </w:pPr>
            <w:r>
              <w:rPr>
                <w:sz w:val="18"/>
              </w:rPr>
              <w:t>Rashodi za zaposlene (šifre 311+312+313)</w:t>
            </w:r>
          </w:p>
        </w:tc>
        <w:tc>
          <w:tcPr>
            <w:tcW w:w="700" w:type="dxa"/>
            <w:tcMar>
              <w:top w:w="0" w:type="dxa"/>
              <w:bottom w:w="0" w:type="dxa"/>
            </w:tcMar>
            <w:vAlign w:val="center"/>
          </w:tcPr>
          <w:p w14:paraId="68A3A69A" w14:textId="77777777" w:rsidR="003329F2" w:rsidRDefault="00000000">
            <w:pPr>
              <w:keepNext/>
              <w:keepLines/>
              <w:spacing w:after="0" w:line="240" w:lineRule="auto"/>
            </w:pPr>
            <w:r>
              <w:rPr>
                <w:sz w:val="18"/>
              </w:rPr>
              <w:t>31</w:t>
            </w:r>
          </w:p>
        </w:tc>
        <w:tc>
          <w:tcPr>
            <w:tcW w:w="1860" w:type="dxa"/>
            <w:tcMar>
              <w:top w:w="0" w:type="dxa"/>
              <w:bottom w:w="0" w:type="dxa"/>
            </w:tcMar>
            <w:vAlign w:val="center"/>
          </w:tcPr>
          <w:p w14:paraId="693B5AF4" w14:textId="77777777" w:rsidR="003329F2" w:rsidRDefault="00000000">
            <w:pPr>
              <w:keepNext/>
              <w:keepLines/>
              <w:spacing w:after="0" w:line="240" w:lineRule="auto"/>
              <w:jc w:val="right"/>
            </w:pPr>
            <w:r>
              <w:rPr>
                <w:sz w:val="18"/>
              </w:rPr>
              <w:t>872.855,12</w:t>
            </w:r>
          </w:p>
        </w:tc>
        <w:tc>
          <w:tcPr>
            <w:tcW w:w="1860" w:type="dxa"/>
            <w:tcMar>
              <w:top w:w="0" w:type="dxa"/>
              <w:bottom w:w="0" w:type="dxa"/>
            </w:tcMar>
            <w:vAlign w:val="center"/>
          </w:tcPr>
          <w:p w14:paraId="251D29E5" w14:textId="77777777" w:rsidR="003329F2" w:rsidRDefault="00000000">
            <w:pPr>
              <w:keepNext/>
              <w:keepLines/>
              <w:spacing w:after="0" w:line="240" w:lineRule="auto"/>
              <w:jc w:val="right"/>
            </w:pPr>
            <w:r>
              <w:rPr>
                <w:sz w:val="18"/>
              </w:rPr>
              <w:t>1.009.458,62</w:t>
            </w:r>
          </w:p>
        </w:tc>
        <w:tc>
          <w:tcPr>
            <w:tcW w:w="700" w:type="dxa"/>
            <w:tcMar>
              <w:top w:w="0" w:type="dxa"/>
              <w:bottom w:w="0" w:type="dxa"/>
            </w:tcMar>
            <w:vAlign w:val="center"/>
          </w:tcPr>
          <w:p w14:paraId="6ADCF534" w14:textId="77777777" w:rsidR="003329F2" w:rsidRDefault="00000000">
            <w:pPr>
              <w:keepNext/>
              <w:keepLines/>
              <w:spacing w:after="0" w:line="240" w:lineRule="auto"/>
              <w:jc w:val="right"/>
            </w:pPr>
            <w:r>
              <w:rPr>
                <w:sz w:val="18"/>
              </w:rPr>
              <w:t>115,7</w:t>
            </w:r>
          </w:p>
        </w:tc>
      </w:tr>
    </w:tbl>
    <w:p w14:paraId="59BBF64C" w14:textId="77777777" w:rsidR="003329F2" w:rsidRDefault="003329F2">
      <w:pPr>
        <w:spacing w:after="0"/>
      </w:pPr>
    </w:p>
    <w:p w14:paraId="1AE4A32B" w14:textId="77777777" w:rsidR="003329F2" w:rsidRDefault="00000000">
      <w:r>
        <w:t>Povećanje je posljedica: priznavanja plaće za prosinac 2024.godine u rashode (iskazano je 13 mjesečnih plaća), povećanja osnovice za obračun plaće u javnim službama u odnosu na 2024.godinu.</w:t>
      </w:r>
    </w:p>
    <w:p w14:paraId="50546F21" w14:textId="77777777" w:rsidR="003329F2" w:rsidRDefault="003329F2"/>
    <w:p w14:paraId="52381BE8" w14:textId="77777777" w:rsidR="003329F2" w:rsidRDefault="00000000">
      <w:pPr>
        <w:keepNext/>
        <w:spacing w:line="240" w:lineRule="auto"/>
        <w:jc w:val="center"/>
      </w:pPr>
      <w:r>
        <w:rPr>
          <w:sz w:val="28"/>
        </w:rPr>
        <w:lastRenderedPageBreak/>
        <w:t>Bilješka 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58ADA8B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D9361BB"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2A192398"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1773DD6"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68BF662" w14:textId="77777777" w:rsidR="003329F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277FDEB" w14:textId="77777777" w:rsidR="003329F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0550501" w14:textId="77777777" w:rsidR="003329F2" w:rsidRDefault="00000000">
            <w:pPr>
              <w:keepNext/>
              <w:keepLines/>
              <w:spacing w:after="0" w:line="240" w:lineRule="auto"/>
              <w:jc w:val="center"/>
            </w:pPr>
            <w:r>
              <w:rPr>
                <w:b/>
                <w:sz w:val="18"/>
              </w:rPr>
              <w:t>Indeks (%)</w:t>
            </w:r>
          </w:p>
        </w:tc>
      </w:tr>
      <w:tr w:rsidR="003329F2" w14:paraId="2962CE3C" w14:textId="77777777">
        <w:tblPrEx>
          <w:tblCellMar>
            <w:top w:w="0" w:type="dxa"/>
            <w:bottom w:w="0" w:type="dxa"/>
          </w:tblCellMar>
        </w:tblPrEx>
        <w:trPr>
          <w:cantSplit/>
          <w:trHeight w:val="560"/>
        </w:trPr>
        <w:tc>
          <w:tcPr>
            <w:tcW w:w="700" w:type="dxa"/>
            <w:tcMar>
              <w:top w:w="0" w:type="dxa"/>
              <w:bottom w:w="0" w:type="dxa"/>
            </w:tcMar>
            <w:vAlign w:val="center"/>
          </w:tcPr>
          <w:p w14:paraId="192F4F67" w14:textId="77777777" w:rsidR="003329F2" w:rsidRDefault="00000000">
            <w:pPr>
              <w:keepNext/>
              <w:keepLines/>
              <w:spacing w:after="0" w:line="240" w:lineRule="auto"/>
            </w:pPr>
            <w:r>
              <w:rPr>
                <w:sz w:val="18"/>
              </w:rPr>
              <w:t>3211</w:t>
            </w:r>
          </w:p>
        </w:tc>
        <w:tc>
          <w:tcPr>
            <w:tcW w:w="3180" w:type="dxa"/>
            <w:tcMar>
              <w:top w:w="0" w:type="dxa"/>
              <w:bottom w:w="0" w:type="dxa"/>
            </w:tcMar>
            <w:vAlign w:val="center"/>
          </w:tcPr>
          <w:p w14:paraId="4705E421" w14:textId="77777777" w:rsidR="003329F2" w:rsidRDefault="00000000">
            <w:pPr>
              <w:keepNext/>
              <w:keepLines/>
              <w:spacing w:after="0" w:line="240" w:lineRule="auto"/>
            </w:pPr>
            <w:r>
              <w:rPr>
                <w:sz w:val="18"/>
              </w:rPr>
              <w:t>Službena putovanja</w:t>
            </w:r>
          </w:p>
        </w:tc>
        <w:tc>
          <w:tcPr>
            <w:tcW w:w="700" w:type="dxa"/>
            <w:tcMar>
              <w:top w:w="0" w:type="dxa"/>
              <w:bottom w:w="0" w:type="dxa"/>
            </w:tcMar>
            <w:vAlign w:val="center"/>
          </w:tcPr>
          <w:p w14:paraId="480DAB4B" w14:textId="77777777" w:rsidR="003329F2" w:rsidRDefault="00000000">
            <w:pPr>
              <w:keepNext/>
              <w:keepLines/>
              <w:spacing w:after="0" w:line="240" w:lineRule="auto"/>
            </w:pPr>
            <w:r>
              <w:rPr>
                <w:sz w:val="18"/>
              </w:rPr>
              <w:t>3211</w:t>
            </w:r>
          </w:p>
        </w:tc>
        <w:tc>
          <w:tcPr>
            <w:tcW w:w="1860" w:type="dxa"/>
            <w:tcMar>
              <w:top w:w="0" w:type="dxa"/>
              <w:bottom w:w="0" w:type="dxa"/>
            </w:tcMar>
            <w:vAlign w:val="center"/>
          </w:tcPr>
          <w:p w14:paraId="4F7125E6" w14:textId="77777777" w:rsidR="003329F2" w:rsidRDefault="00000000">
            <w:pPr>
              <w:keepNext/>
              <w:keepLines/>
              <w:spacing w:after="0" w:line="240" w:lineRule="auto"/>
              <w:jc w:val="right"/>
            </w:pPr>
            <w:r>
              <w:rPr>
                <w:sz w:val="18"/>
              </w:rPr>
              <w:t>2.232,85</w:t>
            </w:r>
          </w:p>
        </w:tc>
        <w:tc>
          <w:tcPr>
            <w:tcW w:w="1860" w:type="dxa"/>
            <w:tcMar>
              <w:top w:w="0" w:type="dxa"/>
              <w:bottom w:w="0" w:type="dxa"/>
            </w:tcMar>
            <w:vAlign w:val="center"/>
          </w:tcPr>
          <w:p w14:paraId="42C7D799" w14:textId="77777777" w:rsidR="003329F2" w:rsidRDefault="00000000">
            <w:pPr>
              <w:keepNext/>
              <w:keepLines/>
              <w:spacing w:after="0" w:line="240" w:lineRule="auto"/>
              <w:jc w:val="right"/>
            </w:pPr>
            <w:r>
              <w:rPr>
                <w:sz w:val="18"/>
              </w:rPr>
              <w:t>4.059,30</w:t>
            </w:r>
          </w:p>
        </w:tc>
        <w:tc>
          <w:tcPr>
            <w:tcW w:w="700" w:type="dxa"/>
            <w:tcMar>
              <w:top w:w="0" w:type="dxa"/>
              <w:bottom w:w="0" w:type="dxa"/>
            </w:tcMar>
            <w:vAlign w:val="center"/>
          </w:tcPr>
          <w:p w14:paraId="07A6E9C5" w14:textId="77777777" w:rsidR="003329F2" w:rsidRDefault="00000000">
            <w:pPr>
              <w:keepNext/>
              <w:keepLines/>
              <w:spacing w:after="0" w:line="240" w:lineRule="auto"/>
              <w:jc w:val="right"/>
            </w:pPr>
            <w:r>
              <w:rPr>
                <w:sz w:val="18"/>
              </w:rPr>
              <w:t>181,8</w:t>
            </w:r>
          </w:p>
        </w:tc>
      </w:tr>
    </w:tbl>
    <w:p w14:paraId="4E8E98F5" w14:textId="77777777" w:rsidR="003329F2" w:rsidRDefault="003329F2">
      <w:pPr>
        <w:spacing w:after="0"/>
      </w:pPr>
    </w:p>
    <w:p w14:paraId="4F8EBB94" w14:textId="77777777" w:rsidR="003329F2" w:rsidRDefault="00000000">
      <w:r>
        <w:t>Povećanje se odnosi na veći broj sudjelovanja na tečajevima te konferencijama.</w:t>
      </w:r>
    </w:p>
    <w:p w14:paraId="31BF0F08" w14:textId="77777777" w:rsidR="003329F2" w:rsidRDefault="003329F2"/>
    <w:p w14:paraId="09B07FD3" w14:textId="77777777" w:rsidR="003329F2" w:rsidRDefault="00000000">
      <w:pPr>
        <w:keepNext/>
        <w:spacing w:line="240" w:lineRule="auto"/>
        <w:jc w:val="center"/>
      </w:pPr>
      <w:r>
        <w:rPr>
          <w:sz w:val="28"/>
        </w:rPr>
        <w:t>Bilješka 10.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5E6645F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32473EE"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88046BB"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C264289"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2D34A00" w14:textId="77777777" w:rsidR="003329F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ECABFBD" w14:textId="77777777" w:rsidR="003329F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32A720E" w14:textId="77777777" w:rsidR="003329F2" w:rsidRDefault="00000000">
            <w:pPr>
              <w:keepNext/>
              <w:keepLines/>
              <w:spacing w:after="0" w:line="240" w:lineRule="auto"/>
              <w:jc w:val="center"/>
            </w:pPr>
            <w:r>
              <w:rPr>
                <w:b/>
                <w:sz w:val="18"/>
              </w:rPr>
              <w:t>Indeks (%)</w:t>
            </w:r>
          </w:p>
        </w:tc>
      </w:tr>
      <w:tr w:rsidR="003329F2" w14:paraId="61C63D60" w14:textId="77777777">
        <w:tblPrEx>
          <w:tblCellMar>
            <w:top w:w="0" w:type="dxa"/>
            <w:bottom w:w="0" w:type="dxa"/>
          </w:tblCellMar>
        </w:tblPrEx>
        <w:trPr>
          <w:cantSplit/>
          <w:trHeight w:val="560"/>
        </w:trPr>
        <w:tc>
          <w:tcPr>
            <w:tcW w:w="700" w:type="dxa"/>
            <w:tcMar>
              <w:top w:w="0" w:type="dxa"/>
              <w:bottom w:w="0" w:type="dxa"/>
            </w:tcMar>
            <w:vAlign w:val="center"/>
          </w:tcPr>
          <w:p w14:paraId="14982959" w14:textId="77777777" w:rsidR="003329F2" w:rsidRDefault="00000000">
            <w:pPr>
              <w:keepNext/>
              <w:keepLines/>
              <w:spacing w:after="0" w:line="240" w:lineRule="auto"/>
            </w:pPr>
            <w:r>
              <w:rPr>
                <w:sz w:val="18"/>
              </w:rPr>
              <w:t>3225</w:t>
            </w:r>
          </w:p>
        </w:tc>
        <w:tc>
          <w:tcPr>
            <w:tcW w:w="3180" w:type="dxa"/>
            <w:tcMar>
              <w:top w:w="0" w:type="dxa"/>
              <w:bottom w:w="0" w:type="dxa"/>
            </w:tcMar>
            <w:vAlign w:val="center"/>
          </w:tcPr>
          <w:p w14:paraId="2C76E96A" w14:textId="77777777" w:rsidR="003329F2" w:rsidRDefault="00000000">
            <w:pPr>
              <w:keepNext/>
              <w:keepLines/>
              <w:spacing w:after="0" w:line="240" w:lineRule="auto"/>
            </w:pPr>
            <w:r>
              <w:rPr>
                <w:sz w:val="18"/>
              </w:rPr>
              <w:t xml:space="preserve">Sitni inventar i </w:t>
            </w:r>
            <w:proofErr w:type="spellStart"/>
            <w:r>
              <w:rPr>
                <w:sz w:val="18"/>
              </w:rPr>
              <w:t>autogume</w:t>
            </w:r>
            <w:proofErr w:type="spellEnd"/>
          </w:p>
        </w:tc>
        <w:tc>
          <w:tcPr>
            <w:tcW w:w="700" w:type="dxa"/>
            <w:tcMar>
              <w:top w:w="0" w:type="dxa"/>
              <w:bottom w:w="0" w:type="dxa"/>
            </w:tcMar>
            <w:vAlign w:val="center"/>
          </w:tcPr>
          <w:p w14:paraId="68E5562E" w14:textId="77777777" w:rsidR="003329F2" w:rsidRDefault="00000000">
            <w:pPr>
              <w:keepNext/>
              <w:keepLines/>
              <w:spacing w:after="0" w:line="240" w:lineRule="auto"/>
            </w:pPr>
            <w:r>
              <w:rPr>
                <w:sz w:val="18"/>
              </w:rPr>
              <w:t>3225</w:t>
            </w:r>
          </w:p>
        </w:tc>
        <w:tc>
          <w:tcPr>
            <w:tcW w:w="1860" w:type="dxa"/>
            <w:tcMar>
              <w:top w:w="0" w:type="dxa"/>
              <w:bottom w:w="0" w:type="dxa"/>
            </w:tcMar>
            <w:vAlign w:val="center"/>
          </w:tcPr>
          <w:p w14:paraId="41281846" w14:textId="77777777" w:rsidR="003329F2" w:rsidRDefault="00000000">
            <w:pPr>
              <w:keepNext/>
              <w:keepLines/>
              <w:spacing w:after="0" w:line="240" w:lineRule="auto"/>
              <w:jc w:val="right"/>
            </w:pPr>
            <w:r>
              <w:rPr>
                <w:sz w:val="18"/>
              </w:rPr>
              <w:t>1.001,57</w:t>
            </w:r>
          </w:p>
        </w:tc>
        <w:tc>
          <w:tcPr>
            <w:tcW w:w="1860" w:type="dxa"/>
            <w:tcMar>
              <w:top w:w="0" w:type="dxa"/>
              <w:bottom w:w="0" w:type="dxa"/>
            </w:tcMar>
            <w:vAlign w:val="center"/>
          </w:tcPr>
          <w:p w14:paraId="3A380F0B" w14:textId="77777777" w:rsidR="003329F2" w:rsidRDefault="00000000">
            <w:pPr>
              <w:keepNext/>
              <w:keepLines/>
              <w:spacing w:after="0" w:line="240" w:lineRule="auto"/>
              <w:jc w:val="right"/>
            </w:pPr>
            <w:r>
              <w:rPr>
                <w:sz w:val="18"/>
              </w:rPr>
              <w:t>36.438,11</w:t>
            </w:r>
          </w:p>
        </w:tc>
        <w:tc>
          <w:tcPr>
            <w:tcW w:w="700" w:type="dxa"/>
            <w:tcMar>
              <w:top w:w="0" w:type="dxa"/>
              <w:bottom w:w="0" w:type="dxa"/>
            </w:tcMar>
            <w:vAlign w:val="center"/>
          </w:tcPr>
          <w:p w14:paraId="13A5FC21" w14:textId="77777777" w:rsidR="003329F2" w:rsidRDefault="00000000">
            <w:pPr>
              <w:keepNext/>
              <w:keepLines/>
              <w:spacing w:after="0" w:line="240" w:lineRule="auto"/>
              <w:jc w:val="right"/>
            </w:pPr>
            <w:r>
              <w:rPr>
                <w:sz w:val="18"/>
              </w:rPr>
              <w:t>3638,1</w:t>
            </w:r>
          </w:p>
        </w:tc>
      </w:tr>
    </w:tbl>
    <w:p w14:paraId="0D2D7F58" w14:textId="77777777" w:rsidR="003329F2" w:rsidRDefault="003329F2">
      <w:pPr>
        <w:spacing w:after="0"/>
      </w:pPr>
    </w:p>
    <w:p w14:paraId="257B02ED" w14:textId="77777777" w:rsidR="003329F2" w:rsidRDefault="00000000">
      <w:r>
        <w:t>Povećanje je posljedica opremanja zgrade stradale u potresu i kupnje zavjesa.</w:t>
      </w:r>
    </w:p>
    <w:p w14:paraId="7B2BFB29" w14:textId="77777777" w:rsidR="003329F2" w:rsidRDefault="003329F2"/>
    <w:p w14:paraId="614F5585" w14:textId="77777777" w:rsidR="003329F2" w:rsidRDefault="00000000">
      <w:pPr>
        <w:keepNext/>
        <w:spacing w:line="240" w:lineRule="auto"/>
        <w:jc w:val="center"/>
      </w:pPr>
      <w:r>
        <w:rPr>
          <w:sz w:val="28"/>
        </w:rPr>
        <w:t>Bilješka 11.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6639204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B90B272"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91AA52B"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E3F2FB9"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916A286" w14:textId="77777777" w:rsidR="003329F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465D21D" w14:textId="77777777" w:rsidR="003329F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13A576F" w14:textId="77777777" w:rsidR="003329F2" w:rsidRDefault="00000000">
            <w:pPr>
              <w:keepNext/>
              <w:keepLines/>
              <w:spacing w:after="0" w:line="240" w:lineRule="auto"/>
              <w:jc w:val="center"/>
            </w:pPr>
            <w:r>
              <w:rPr>
                <w:b/>
                <w:sz w:val="18"/>
              </w:rPr>
              <w:t>Indeks (%)</w:t>
            </w:r>
          </w:p>
        </w:tc>
      </w:tr>
      <w:tr w:rsidR="003329F2" w14:paraId="46DF0668" w14:textId="77777777">
        <w:tblPrEx>
          <w:tblCellMar>
            <w:top w:w="0" w:type="dxa"/>
            <w:bottom w:w="0" w:type="dxa"/>
          </w:tblCellMar>
        </w:tblPrEx>
        <w:trPr>
          <w:cantSplit/>
          <w:trHeight w:val="560"/>
        </w:trPr>
        <w:tc>
          <w:tcPr>
            <w:tcW w:w="700" w:type="dxa"/>
            <w:tcMar>
              <w:top w:w="0" w:type="dxa"/>
              <w:bottom w:w="0" w:type="dxa"/>
            </w:tcMar>
            <w:vAlign w:val="center"/>
          </w:tcPr>
          <w:p w14:paraId="3899283A" w14:textId="77777777" w:rsidR="003329F2" w:rsidRDefault="00000000">
            <w:pPr>
              <w:keepNext/>
              <w:keepLines/>
              <w:spacing w:after="0" w:line="240" w:lineRule="auto"/>
            </w:pPr>
            <w:r>
              <w:rPr>
                <w:sz w:val="18"/>
              </w:rPr>
              <w:t>3235</w:t>
            </w:r>
          </w:p>
        </w:tc>
        <w:tc>
          <w:tcPr>
            <w:tcW w:w="3180" w:type="dxa"/>
            <w:tcMar>
              <w:top w:w="0" w:type="dxa"/>
              <w:bottom w:w="0" w:type="dxa"/>
            </w:tcMar>
            <w:vAlign w:val="center"/>
          </w:tcPr>
          <w:p w14:paraId="66A91561" w14:textId="77777777" w:rsidR="003329F2" w:rsidRDefault="00000000">
            <w:pPr>
              <w:keepNext/>
              <w:keepLines/>
              <w:spacing w:after="0" w:line="240" w:lineRule="auto"/>
            </w:pPr>
            <w:r>
              <w:rPr>
                <w:sz w:val="18"/>
              </w:rPr>
              <w:t>Zakupnine i najamnine</w:t>
            </w:r>
          </w:p>
        </w:tc>
        <w:tc>
          <w:tcPr>
            <w:tcW w:w="700" w:type="dxa"/>
            <w:tcMar>
              <w:top w:w="0" w:type="dxa"/>
              <w:bottom w:w="0" w:type="dxa"/>
            </w:tcMar>
            <w:vAlign w:val="center"/>
          </w:tcPr>
          <w:p w14:paraId="7FA6220C" w14:textId="77777777" w:rsidR="003329F2" w:rsidRDefault="00000000">
            <w:pPr>
              <w:keepNext/>
              <w:keepLines/>
              <w:spacing w:after="0" w:line="240" w:lineRule="auto"/>
            </w:pPr>
            <w:r>
              <w:rPr>
                <w:sz w:val="18"/>
              </w:rPr>
              <w:t>3235</w:t>
            </w:r>
          </w:p>
        </w:tc>
        <w:tc>
          <w:tcPr>
            <w:tcW w:w="1860" w:type="dxa"/>
            <w:tcMar>
              <w:top w:w="0" w:type="dxa"/>
              <w:bottom w:w="0" w:type="dxa"/>
            </w:tcMar>
            <w:vAlign w:val="center"/>
          </w:tcPr>
          <w:p w14:paraId="23751136" w14:textId="77777777" w:rsidR="003329F2" w:rsidRDefault="00000000">
            <w:pPr>
              <w:keepNext/>
              <w:keepLines/>
              <w:spacing w:after="0" w:line="240" w:lineRule="auto"/>
              <w:jc w:val="right"/>
            </w:pPr>
            <w:r>
              <w:rPr>
                <w:sz w:val="18"/>
              </w:rPr>
              <w:t>73,00</w:t>
            </w:r>
          </w:p>
        </w:tc>
        <w:tc>
          <w:tcPr>
            <w:tcW w:w="1860" w:type="dxa"/>
            <w:tcMar>
              <w:top w:w="0" w:type="dxa"/>
              <w:bottom w:w="0" w:type="dxa"/>
            </w:tcMar>
            <w:vAlign w:val="center"/>
          </w:tcPr>
          <w:p w14:paraId="5D21F8FE" w14:textId="77777777" w:rsidR="003329F2" w:rsidRDefault="00000000">
            <w:pPr>
              <w:keepNext/>
              <w:keepLines/>
              <w:spacing w:after="0" w:line="240" w:lineRule="auto"/>
              <w:jc w:val="right"/>
            </w:pPr>
            <w:r>
              <w:rPr>
                <w:sz w:val="18"/>
              </w:rPr>
              <w:t>320,31</w:t>
            </w:r>
          </w:p>
        </w:tc>
        <w:tc>
          <w:tcPr>
            <w:tcW w:w="700" w:type="dxa"/>
            <w:tcMar>
              <w:top w:w="0" w:type="dxa"/>
              <w:bottom w:w="0" w:type="dxa"/>
            </w:tcMar>
            <w:vAlign w:val="center"/>
          </w:tcPr>
          <w:p w14:paraId="7B5A00D6" w14:textId="77777777" w:rsidR="003329F2" w:rsidRDefault="00000000">
            <w:pPr>
              <w:keepNext/>
              <w:keepLines/>
              <w:spacing w:after="0" w:line="240" w:lineRule="auto"/>
              <w:jc w:val="right"/>
            </w:pPr>
            <w:r>
              <w:rPr>
                <w:sz w:val="18"/>
              </w:rPr>
              <w:t>438,8</w:t>
            </w:r>
          </w:p>
        </w:tc>
      </w:tr>
    </w:tbl>
    <w:p w14:paraId="75059693" w14:textId="77777777" w:rsidR="003329F2" w:rsidRDefault="003329F2">
      <w:pPr>
        <w:spacing w:after="0"/>
      </w:pPr>
    </w:p>
    <w:p w14:paraId="726E7A96" w14:textId="77777777" w:rsidR="003329F2" w:rsidRDefault="00000000">
      <w:r>
        <w:t>Rashodi su povećani zbog najma uređaja.</w:t>
      </w:r>
    </w:p>
    <w:p w14:paraId="1361CFFF" w14:textId="77777777" w:rsidR="003329F2" w:rsidRDefault="003329F2"/>
    <w:p w14:paraId="2A7514B9" w14:textId="77777777" w:rsidR="003329F2" w:rsidRDefault="00000000">
      <w:pPr>
        <w:keepNext/>
        <w:spacing w:line="240" w:lineRule="auto"/>
        <w:jc w:val="center"/>
      </w:pPr>
      <w:r>
        <w:rPr>
          <w:b/>
          <w:sz w:val="28"/>
        </w:rPr>
        <w:t>Bilanca</w:t>
      </w:r>
    </w:p>
    <w:p w14:paraId="68A8C1B0" w14:textId="77777777" w:rsidR="003329F2" w:rsidRDefault="00000000">
      <w:pPr>
        <w:keepNext/>
        <w:spacing w:line="240" w:lineRule="auto"/>
        <w:jc w:val="center"/>
      </w:pPr>
      <w:r>
        <w:rPr>
          <w:sz w:val="28"/>
        </w:rPr>
        <w:t>Bilješka 12.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3329F2" w14:paraId="483FD61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D1B7DE4"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2B95E76"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C69850B"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721EF55" w14:textId="77777777" w:rsidR="003329F2"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5BE75EED" w14:textId="77777777" w:rsidR="003329F2"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56319C23" w14:textId="77777777" w:rsidR="003329F2" w:rsidRDefault="00000000">
            <w:pPr>
              <w:keepNext/>
              <w:keepLines/>
              <w:spacing w:after="0" w:line="240" w:lineRule="auto"/>
              <w:jc w:val="center"/>
            </w:pPr>
            <w:r>
              <w:rPr>
                <w:b/>
                <w:sz w:val="18"/>
              </w:rPr>
              <w:t>Indeks (%)</w:t>
            </w:r>
          </w:p>
        </w:tc>
      </w:tr>
      <w:tr w:rsidR="003329F2" w14:paraId="16272F10" w14:textId="77777777">
        <w:tblPrEx>
          <w:tblCellMar>
            <w:top w:w="0" w:type="dxa"/>
            <w:bottom w:w="0" w:type="dxa"/>
          </w:tblCellMar>
        </w:tblPrEx>
        <w:trPr>
          <w:cantSplit/>
          <w:trHeight w:val="560"/>
        </w:trPr>
        <w:tc>
          <w:tcPr>
            <w:tcW w:w="700" w:type="dxa"/>
            <w:tcMar>
              <w:top w:w="0" w:type="dxa"/>
              <w:bottom w:w="0" w:type="dxa"/>
            </w:tcMar>
            <w:vAlign w:val="center"/>
          </w:tcPr>
          <w:p w14:paraId="5404EEFF" w14:textId="77777777" w:rsidR="003329F2" w:rsidRDefault="00000000">
            <w:pPr>
              <w:keepNext/>
              <w:keepLines/>
              <w:spacing w:after="0" w:line="240" w:lineRule="auto"/>
            </w:pPr>
            <w:r>
              <w:rPr>
                <w:sz w:val="18"/>
              </w:rPr>
              <w:t>99691</w:t>
            </w:r>
          </w:p>
        </w:tc>
        <w:tc>
          <w:tcPr>
            <w:tcW w:w="3180" w:type="dxa"/>
            <w:tcMar>
              <w:top w:w="0" w:type="dxa"/>
              <w:bottom w:w="0" w:type="dxa"/>
            </w:tcMar>
            <w:vAlign w:val="center"/>
          </w:tcPr>
          <w:p w14:paraId="5C5180C8" w14:textId="77777777" w:rsidR="003329F2" w:rsidRDefault="00000000">
            <w:pPr>
              <w:keepNext/>
              <w:keepLines/>
              <w:spacing w:after="0" w:line="240" w:lineRule="auto"/>
            </w:pPr>
            <w:r>
              <w:rPr>
                <w:sz w:val="18"/>
              </w:rPr>
              <w:t xml:space="preserve">Ostali </w:t>
            </w:r>
            <w:proofErr w:type="spellStart"/>
            <w:r>
              <w:rPr>
                <w:sz w:val="18"/>
              </w:rPr>
              <w:t>izvanbilančni</w:t>
            </w:r>
            <w:proofErr w:type="spellEnd"/>
            <w:r>
              <w:rPr>
                <w:sz w:val="18"/>
              </w:rPr>
              <w:t xml:space="preserve"> zapisi</w:t>
            </w:r>
          </w:p>
        </w:tc>
        <w:tc>
          <w:tcPr>
            <w:tcW w:w="700" w:type="dxa"/>
            <w:tcMar>
              <w:top w:w="0" w:type="dxa"/>
              <w:bottom w:w="0" w:type="dxa"/>
            </w:tcMar>
            <w:vAlign w:val="center"/>
          </w:tcPr>
          <w:p w14:paraId="3DC651D2" w14:textId="77777777" w:rsidR="003329F2" w:rsidRDefault="00000000">
            <w:pPr>
              <w:keepNext/>
              <w:keepLines/>
              <w:spacing w:after="0" w:line="240" w:lineRule="auto"/>
            </w:pPr>
            <w:r>
              <w:rPr>
                <w:sz w:val="18"/>
              </w:rPr>
              <w:t>99691</w:t>
            </w:r>
          </w:p>
        </w:tc>
        <w:tc>
          <w:tcPr>
            <w:tcW w:w="1860" w:type="dxa"/>
            <w:tcMar>
              <w:top w:w="0" w:type="dxa"/>
              <w:bottom w:w="0" w:type="dxa"/>
            </w:tcMar>
            <w:vAlign w:val="center"/>
          </w:tcPr>
          <w:p w14:paraId="7C3DC4F8" w14:textId="77777777" w:rsidR="003329F2" w:rsidRDefault="00000000">
            <w:pPr>
              <w:keepNext/>
              <w:keepLines/>
              <w:spacing w:after="0" w:line="240" w:lineRule="auto"/>
              <w:jc w:val="right"/>
            </w:pPr>
            <w:r>
              <w:rPr>
                <w:sz w:val="18"/>
              </w:rPr>
              <w:t>0,00</w:t>
            </w:r>
          </w:p>
        </w:tc>
        <w:tc>
          <w:tcPr>
            <w:tcW w:w="1860" w:type="dxa"/>
            <w:tcMar>
              <w:top w:w="0" w:type="dxa"/>
              <w:bottom w:w="0" w:type="dxa"/>
            </w:tcMar>
            <w:vAlign w:val="center"/>
          </w:tcPr>
          <w:p w14:paraId="68BA5C92" w14:textId="77777777" w:rsidR="003329F2" w:rsidRDefault="00000000">
            <w:pPr>
              <w:keepNext/>
              <w:keepLines/>
              <w:spacing w:after="0" w:line="240" w:lineRule="auto"/>
              <w:jc w:val="right"/>
            </w:pPr>
            <w:r>
              <w:rPr>
                <w:sz w:val="18"/>
              </w:rPr>
              <w:t>0,00</w:t>
            </w:r>
          </w:p>
        </w:tc>
        <w:tc>
          <w:tcPr>
            <w:tcW w:w="700" w:type="dxa"/>
            <w:tcMar>
              <w:top w:w="0" w:type="dxa"/>
              <w:bottom w:w="0" w:type="dxa"/>
            </w:tcMar>
            <w:vAlign w:val="center"/>
          </w:tcPr>
          <w:p w14:paraId="507E3E41" w14:textId="77777777" w:rsidR="003329F2" w:rsidRDefault="00000000">
            <w:pPr>
              <w:keepNext/>
              <w:keepLines/>
              <w:spacing w:after="0" w:line="240" w:lineRule="auto"/>
              <w:jc w:val="right"/>
            </w:pPr>
            <w:r>
              <w:rPr>
                <w:sz w:val="18"/>
              </w:rPr>
              <w:t>-</w:t>
            </w:r>
          </w:p>
        </w:tc>
      </w:tr>
    </w:tbl>
    <w:p w14:paraId="78453E6B" w14:textId="77777777" w:rsidR="003329F2" w:rsidRDefault="003329F2">
      <w:pPr>
        <w:spacing w:after="0"/>
      </w:pPr>
    </w:p>
    <w:p w14:paraId="13788543" w14:textId="77777777" w:rsidR="003329F2" w:rsidRDefault="00000000">
      <w:r>
        <w:t xml:space="preserve">Dom za odrasle osobe Petrinja podnio je 19.07.2022. godine sudsku tužbu protiv Croatia osiguranja d.d. radi naknade štete nastale uslijed potresa na zgradi Doma koja je bila osigurana policom osiguranja. Unatoč važećoj polici osiguranja, osiguravatelj nije isplatio ugovoreni iznos naknade štete.  Vrijednost predmetnog spora iznosi 6.472.952,01 kuna, odnosno 859.108,37 eura preračunato po fiksnom tečaju konverzije. Uz navedeni iznos, u postupku se potražuju i zatezne kamate te sudski troškovi čija se visina u ovom trenutku ne </w:t>
      </w:r>
      <w:r>
        <w:lastRenderedPageBreak/>
        <w:t>može pouzdano utvrditi budući da ovisi o trajanju sudskog postupka koje nije moguće unaprijed precizno predvidjeti.</w:t>
      </w:r>
    </w:p>
    <w:p w14:paraId="119D0E85" w14:textId="77777777" w:rsidR="003329F2" w:rsidRDefault="003329F2"/>
    <w:p w14:paraId="5142BA1D" w14:textId="77777777" w:rsidR="003329F2" w:rsidRDefault="00000000">
      <w:pPr>
        <w:keepNext/>
        <w:spacing w:line="240" w:lineRule="auto"/>
        <w:jc w:val="center"/>
      </w:pPr>
      <w:r>
        <w:rPr>
          <w:b/>
          <w:sz w:val="28"/>
        </w:rPr>
        <w:t>Izvještaj o obvezama</w:t>
      </w:r>
    </w:p>
    <w:p w14:paraId="07EAD46A" w14:textId="77777777" w:rsidR="003329F2" w:rsidRDefault="00000000">
      <w:pPr>
        <w:keepNext/>
        <w:spacing w:line="240" w:lineRule="auto"/>
        <w:jc w:val="center"/>
      </w:pPr>
      <w:r>
        <w:rPr>
          <w:sz w:val="28"/>
        </w:rPr>
        <w:t>Bilješka 13.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883"/>
        <w:gridCol w:w="4008"/>
        <w:gridCol w:w="882"/>
        <w:gridCol w:w="2345"/>
        <w:gridCol w:w="882"/>
      </w:tblGrid>
      <w:tr w:rsidR="003329F2" w14:paraId="7713AA7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6E38CDF" w14:textId="77777777" w:rsidR="003329F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72A020D9" w14:textId="77777777" w:rsidR="003329F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4191CDF" w14:textId="77777777" w:rsidR="003329F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2754A30" w14:textId="77777777" w:rsidR="003329F2" w:rsidRDefault="00000000">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78ABEF99" w14:textId="77777777" w:rsidR="003329F2" w:rsidRDefault="00000000">
            <w:pPr>
              <w:keepNext/>
              <w:keepLines/>
              <w:spacing w:after="0" w:line="240" w:lineRule="auto"/>
              <w:jc w:val="center"/>
            </w:pPr>
            <w:r>
              <w:rPr>
                <w:b/>
                <w:sz w:val="18"/>
              </w:rPr>
              <w:t>Indeks (%)</w:t>
            </w:r>
          </w:p>
        </w:tc>
      </w:tr>
      <w:tr w:rsidR="003329F2" w14:paraId="36B0A396" w14:textId="77777777">
        <w:tblPrEx>
          <w:tblCellMar>
            <w:top w:w="0" w:type="dxa"/>
            <w:bottom w:w="0" w:type="dxa"/>
          </w:tblCellMar>
        </w:tblPrEx>
        <w:trPr>
          <w:cantSplit/>
          <w:trHeight w:val="560"/>
        </w:trPr>
        <w:tc>
          <w:tcPr>
            <w:tcW w:w="700" w:type="dxa"/>
            <w:tcMar>
              <w:top w:w="0" w:type="dxa"/>
              <w:bottom w:w="0" w:type="dxa"/>
            </w:tcMar>
            <w:vAlign w:val="center"/>
          </w:tcPr>
          <w:p w14:paraId="487F174E" w14:textId="77777777" w:rsidR="003329F2" w:rsidRDefault="003329F2">
            <w:pPr>
              <w:keepNext/>
              <w:keepLines/>
              <w:spacing w:after="0" w:line="240" w:lineRule="auto"/>
            </w:pPr>
          </w:p>
        </w:tc>
        <w:tc>
          <w:tcPr>
            <w:tcW w:w="3180" w:type="dxa"/>
            <w:tcMar>
              <w:top w:w="0" w:type="dxa"/>
              <w:bottom w:w="0" w:type="dxa"/>
            </w:tcMar>
            <w:vAlign w:val="center"/>
          </w:tcPr>
          <w:p w14:paraId="4EADEC38" w14:textId="77777777" w:rsidR="003329F2" w:rsidRDefault="00000000">
            <w:pPr>
              <w:keepNext/>
              <w:keepLines/>
              <w:spacing w:after="0" w:line="240" w:lineRule="auto"/>
            </w:pPr>
            <w:r>
              <w:rPr>
                <w:sz w:val="18"/>
              </w:rPr>
              <w:t>Stanje dospjelih obveza na kraju izvještajnog razdoblja (šifre V008+D23+D24 + 'D dio 25,26' + D27)</w:t>
            </w:r>
          </w:p>
        </w:tc>
        <w:tc>
          <w:tcPr>
            <w:tcW w:w="700" w:type="dxa"/>
            <w:tcMar>
              <w:top w:w="0" w:type="dxa"/>
              <w:bottom w:w="0" w:type="dxa"/>
            </w:tcMar>
            <w:vAlign w:val="center"/>
          </w:tcPr>
          <w:p w14:paraId="014BF4DE" w14:textId="77777777" w:rsidR="003329F2" w:rsidRDefault="00000000">
            <w:pPr>
              <w:keepNext/>
              <w:keepLines/>
              <w:spacing w:after="0" w:line="240" w:lineRule="auto"/>
            </w:pPr>
            <w:r>
              <w:rPr>
                <w:sz w:val="18"/>
              </w:rPr>
              <w:t>V007</w:t>
            </w:r>
          </w:p>
        </w:tc>
        <w:tc>
          <w:tcPr>
            <w:tcW w:w="1860" w:type="dxa"/>
            <w:tcMar>
              <w:top w:w="0" w:type="dxa"/>
              <w:bottom w:w="0" w:type="dxa"/>
            </w:tcMar>
            <w:vAlign w:val="center"/>
          </w:tcPr>
          <w:p w14:paraId="59FD97ED" w14:textId="77777777" w:rsidR="003329F2" w:rsidRDefault="00000000">
            <w:pPr>
              <w:keepNext/>
              <w:keepLines/>
              <w:spacing w:after="0" w:line="240" w:lineRule="auto"/>
              <w:jc w:val="right"/>
            </w:pPr>
            <w:r>
              <w:rPr>
                <w:sz w:val="18"/>
              </w:rPr>
              <w:t>0,00</w:t>
            </w:r>
          </w:p>
        </w:tc>
        <w:tc>
          <w:tcPr>
            <w:tcW w:w="700" w:type="dxa"/>
            <w:tcMar>
              <w:top w:w="0" w:type="dxa"/>
              <w:bottom w:w="0" w:type="dxa"/>
            </w:tcMar>
            <w:vAlign w:val="center"/>
          </w:tcPr>
          <w:p w14:paraId="70BA508A" w14:textId="77777777" w:rsidR="003329F2" w:rsidRDefault="00000000">
            <w:pPr>
              <w:keepNext/>
              <w:keepLines/>
              <w:spacing w:after="0" w:line="240" w:lineRule="auto"/>
              <w:jc w:val="right"/>
            </w:pPr>
            <w:r>
              <w:rPr>
                <w:sz w:val="18"/>
              </w:rPr>
              <w:t>-</w:t>
            </w:r>
          </w:p>
        </w:tc>
      </w:tr>
    </w:tbl>
    <w:p w14:paraId="3180893C" w14:textId="77777777" w:rsidR="003329F2" w:rsidRDefault="003329F2">
      <w:pPr>
        <w:spacing w:after="0"/>
      </w:pPr>
    </w:p>
    <w:p w14:paraId="2B1D912C" w14:textId="77777777" w:rsidR="003329F2" w:rsidRDefault="00000000">
      <w:r>
        <w:t xml:space="preserve">Ukupne obveze na datum bilance  iznose 119.465,39 </w:t>
      </w:r>
      <w:proofErr w:type="spellStart"/>
      <w:r>
        <w:t>eur</w:t>
      </w:r>
      <w:proofErr w:type="spellEnd"/>
      <w:r>
        <w:t xml:space="preserve"> te su nedospjele. Podmirene su prema dospijeću u siječnju 2026. godine.</w:t>
      </w:r>
    </w:p>
    <w:p w14:paraId="28571EAD" w14:textId="77777777" w:rsidR="003329F2" w:rsidRDefault="003329F2"/>
    <w:sectPr w:rsidR="003329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9F2"/>
    <w:rsid w:val="003329F2"/>
    <w:rsid w:val="00356999"/>
    <w:rsid w:val="00AD4E9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9AF39"/>
  <w15:docId w15:val="{F91653CB-77BD-457D-8F1A-2DB3D458F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hr-HR" w:eastAsia="hr-H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1112</Words>
  <Characters>6342</Characters>
  <Application>Microsoft Office Word</Application>
  <DocSecurity>0</DocSecurity>
  <Lines>52</Lines>
  <Paragraphs>14</Paragraphs>
  <ScaleCrop>false</ScaleCrop>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Knjigovodstvo IN93</cp:lastModifiedBy>
  <cp:revision>2</cp:revision>
  <cp:lastPrinted>2026-01-30T09:26:00Z</cp:lastPrinted>
  <dcterms:created xsi:type="dcterms:W3CDTF">2026-01-30T09:33:00Z</dcterms:created>
  <dcterms:modified xsi:type="dcterms:W3CDTF">2026-01-30T09:33:00Z</dcterms:modified>
</cp:coreProperties>
</file>